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黑体" w:hAnsi="黑体" w:eastAsia="黑体" w:cs="黑体"/>
          <w:bCs/>
          <w:kern w:val="0"/>
          <w:sz w:val="32"/>
          <w:szCs w:val="32"/>
        </w:rPr>
      </w:pPr>
      <w:r>
        <w:rPr>
          <w:rFonts w:hint="eastAsia" w:ascii="黑体" w:hAnsi="黑体" w:eastAsia="黑体" w:cs="黑体"/>
          <w:bCs/>
          <w:kern w:val="0"/>
          <w:sz w:val="32"/>
          <w:szCs w:val="32"/>
        </w:rPr>
        <w:t>附件3</w:t>
      </w:r>
    </w:p>
    <w:p>
      <w:pPr>
        <w:adjustRightInd w:val="0"/>
        <w:snapToGrid w:val="0"/>
        <w:spacing w:after="156" w:afterLines="50"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直接责任单位的责任追究分类标准</w:t>
      </w:r>
    </w:p>
    <w:tbl>
      <w:tblPr>
        <w:tblStyle w:val="2"/>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87"/>
        <w:gridCol w:w="3491"/>
        <w:gridCol w:w="3491"/>
        <w:gridCol w:w="34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487" w:type="dxa"/>
            <w:vMerge w:val="restart"/>
            <w:tcBorders>
              <w:top w:val="single" w:color="000000" w:sz="2" w:space="0"/>
              <w:left w:val="single" w:color="000000" w:sz="2" w:space="0"/>
              <w:right w:val="single" w:color="000000" w:sz="2" w:space="0"/>
            </w:tcBorders>
            <w:noWrap w:val="0"/>
            <w:vAlign w:val="center"/>
          </w:tcPr>
          <w:p>
            <w:pPr>
              <w:adjustRightInd w:val="0"/>
              <w:snapToGrid w:val="0"/>
              <w:jc w:val="center"/>
              <w:rPr>
                <w:rStyle w:val="4"/>
                <w:rFonts w:hint="eastAsia" w:ascii="黑体" w:hAnsi="黑体" w:eastAsia="黑体" w:cs="黑体"/>
                <w:bCs/>
                <w:kern w:val="0"/>
                <w:sz w:val="28"/>
                <w:szCs w:val="28"/>
              </w:rPr>
            </w:pPr>
            <w:r>
              <w:rPr>
                <w:rStyle w:val="4"/>
                <w:rFonts w:hint="eastAsia" w:ascii="黑体" w:hAnsi="黑体" w:eastAsia="黑体" w:cs="黑体"/>
                <w:bCs/>
                <w:kern w:val="0"/>
                <w:sz w:val="28"/>
                <w:szCs w:val="28"/>
              </w:rPr>
              <w:t>综合积分（P）</w:t>
            </w:r>
          </w:p>
        </w:tc>
        <w:tc>
          <w:tcPr>
            <w:tcW w:w="10475" w:type="dxa"/>
            <w:gridSpan w:val="3"/>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黑体" w:hAnsi="黑体" w:eastAsia="黑体" w:cs="黑体"/>
                <w:bCs/>
                <w:kern w:val="0"/>
                <w:sz w:val="28"/>
                <w:szCs w:val="28"/>
              </w:rPr>
            </w:pPr>
            <w:r>
              <w:rPr>
                <w:rStyle w:val="4"/>
                <w:rFonts w:hint="eastAsia" w:ascii="黑体" w:hAnsi="黑体" w:eastAsia="黑体" w:cs="黑体"/>
                <w:bCs/>
                <w:kern w:val="0"/>
                <w:sz w:val="28"/>
                <w:szCs w:val="28"/>
              </w:rPr>
              <w:t>责任追究方式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487" w:type="dxa"/>
            <w:vMerge w:val="continue"/>
            <w:tcBorders>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黑体" w:hAnsi="黑体" w:eastAsia="黑体" w:cs="黑体"/>
                <w:bCs/>
                <w:kern w:val="0"/>
                <w:sz w:val="28"/>
                <w:szCs w:val="28"/>
              </w:rPr>
            </w:pPr>
          </w:p>
        </w:tc>
        <w:tc>
          <w:tcPr>
            <w:tcW w:w="3491"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黑体" w:hAnsi="黑体" w:eastAsia="黑体" w:cs="黑体"/>
                <w:bCs/>
                <w:kern w:val="0"/>
                <w:sz w:val="28"/>
                <w:szCs w:val="28"/>
              </w:rPr>
            </w:pPr>
            <w:r>
              <w:rPr>
                <w:rStyle w:val="4"/>
                <w:rFonts w:hint="eastAsia" w:ascii="黑体" w:hAnsi="黑体" w:eastAsia="黑体" w:cs="黑体"/>
                <w:bCs/>
                <w:kern w:val="0"/>
                <w:sz w:val="28"/>
                <w:szCs w:val="28"/>
              </w:rPr>
              <w:t>责令整改</w:t>
            </w:r>
          </w:p>
        </w:tc>
        <w:tc>
          <w:tcPr>
            <w:tcW w:w="3491"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黑体" w:hAnsi="黑体" w:eastAsia="黑体" w:cs="黑体"/>
                <w:bCs/>
                <w:kern w:val="0"/>
                <w:sz w:val="28"/>
                <w:szCs w:val="28"/>
              </w:rPr>
            </w:pPr>
            <w:r>
              <w:rPr>
                <w:rStyle w:val="4"/>
                <w:rFonts w:hint="eastAsia" w:ascii="黑体" w:hAnsi="黑体" w:eastAsia="黑体" w:cs="黑体"/>
                <w:bCs/>
                <w:kern w:val="0"/>
                <w:sz w:val="28"/>
                <w:szCs w:val="28"/>
              </w:rPr>
              <w:t>约谈</w:t>
            </w:r>
          </w:p>
        </w:tc>
        <w:tc>
          <w:tcPr>
            <w:tcW w:w="3493"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黑体" w:hAnsi="黑体" w:eastAsia="黑体" w:cs="黑体"/>
                <w:bCs/>
                <w:kern w:val="0"/>
                <w:sz w:val="28"/>
                <w:szCs w:val="28"/>
              </w:rPr>
            </w:pPr>
            <w:r>
              <w:rPr>
                <w:rStyle w:val="4"/>
                <w:rFonts w:hint="eastAsia" w:ascii="黑体" w:hAnsi="黑体" w:eastAsia="黑体" w:cs="黑体"/>
                <w:bCs/>
                <w:kern w:val="0"/>
                <w:sz w:val="28"/>
                <w:szCs w:val="28"/>
              </w:rPr>
              <w:t>通报批评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3487"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P＜10</w:t>
            </w:r>
          </w:p>
        </w:tc>
        <w:tc>
          <w:tcPr>
            <w:tcW w:w="3491"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仿宋_GB2312" w:hAnsi="仿宋_GB2312" w:eastAsia="仿宋_GB2312" w:cs="仿宋_GB2312"/>
                <w:kern w:val="0"/>
                <w:sz w:val="28"/>
                <w:szCs w:val="28"/>
              </w:rPr>
            </w:pPr>
            <w:r>
              <w:rPr>
                <w:rStyle w:val="4"/>
                <w:rFonts w:hint="eastAsia" w:ascii="仿宋_GB2312" w:hAnsi="仿宋_GB2312" w:eastAsia="仿宋_GB2312" w:cs="仿宋_GB2312"/>
                <w:kern w:val="0"/>
                <w:sz w:val="28"/>
                <w:szCs w:val="28"/>
              </w:rPr>
              <w:t>√</w:t>
            </w:r>
          </w:p>
        </w:tc>
        <w:tc>
          <w:tcPr>
            <w:tcW w:w="3491"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仿宋_GB2312" w:hAnsi="仿宋_GB2312" w:eastAsia="仿宋_GB2312" w:cs="仿宋_GB2312"/>
                <w:kern w:val="0"/>
                <w:sz w:val="28"/>
                <w:szCs w:val="28"/>
              </w:rPr>
            </w:pPr>
          </w:p>
        </w:tc>
        <w:tc>
          <w:tcPr>
            <w:tcW w:w="3493"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仿宋_GB2312" w:hAnsi="仿宋_GB2312" w:eastAsia="仿宋_GB2312" w:cs="仿宋_GB2312"/>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487"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10≤P＜30</w:t>
            </w:r>
          </w:p>
        </w:tc>
        <w:tc>
          <w:tcPr>
            <w:tcW w:w="3491"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491"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仿宋_GB2312" w:hAnsi="仿宋_GB2312" w:eastAsia="仿宋_GB2312" w:cs="仿宋_GB2312"/>
                <w:kern w:val="0"/>
                <w:sz w:val="28"/>
                <w:szCs w:val="28"/>
              </w:rPr>
            </w:pPr>
            <w:r>
              <w:rPr>
                <w:rStyle w:val="4"/>
                <w:rFonts w:hint="eastAsia" w:ascii="仿宋_GB2312" w:hAnsi="仿宋_GB2312" w:eastAsia="仿宋_GB2312" w:cs="仿宋_GB2312"/>
                <w:kern w:val="0"/>
                <w:sz w:val="28"/>
                <w:szCs w:val="28"/>
              </w:rPr>
              <w:t>√</w:t>
            </w:r>
          </w:p>
        </w:tc>
        <w:tc>
          <w:tcPr>
            <w:tcW w:w="3493"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仿宋_GB2312" w:hAnsi="仿宋_GB2312" w:eastAsia="仿宋_GB2312" w:cs="仿宋_GB2312"/>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487"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P≥30</w:t>
            </w:r>
          </w:p>
        </w:tc>
        <w:tc>
          <w:tcPr>
            <w:tcW w:w="3491"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491"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493"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Style w:val="4"/>
                <w:rFonts w:hint="eastAsia" w:ascii="仿宋_GB2312" w:hAnsi="仿宋_GB2312" w:eastAsia="仿宋_GB2312" w:cs="仿宋_GB2312"/>
                <w:kern w:val="0"/>
                <w:sz w:val="28"/>
                <w:szCs w:val="28"/>
              </w:rPr>
            </w:pPr>
            <w:r>
              <w:rPr>
                <w:rStyle w:val="4"/>
                <w:rFonts w:hint="eastAsia" w:ascii="仿宋_GB2312" w:hAnsi="仿宋_GB2312" w:eastAsia="仿宋_GB2312" w:cs="仿宋_GB2312"/>
                <w:kern w:val="0"/>
                <w:sz w:val="28"/>
                <w:szCs w:val="28"/>
              </w:rPr>
              <w:t>√</w:t>
            </w:r>
          </w:p>
        </w:tc>
      </w:tr>
    </w:tbl>
    <w:p>
      <w:pPr>
        <w:adjustRightInd w:val="0"/>
        <w:snapToGrid w:val="0"/>
        <w:ind w:left="1120" w:hanging="1120" w:hangingChars="400"/>
        <w:jc w:val="left"/>
        <w:rPr>
          <w:rStyle w:val="4"/>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备注：1.综合积分（P）是指在一次检查中发现的山洪灾害监测预警问题换算成相应分值进行的累计积分；</w:t>
      </w:r>
    </w:p>
    <w:p>
      <w:pPr>
        <w:adjustRightInd w:val="0"/>
        <w:snapToGrid w:val="0"/>
        <w:ind w:left="1118" w:leftChars="399" w:hanging="280" w:hanging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2.单条一般问题的分值为1，单条较重问题的分值为3，单条严重问题的分值为6，单条特别严重问题的分值为30；</w:t>
      </w:r>
    </w:p>
    <w:p>
      <w:pPr>
        <w:adjustRightInd w:val="0"/>
        <w:snapToGrid w:val="0"/>
        <w:ind w:firstLine="840" w:firstLineChars="3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3.“√”为可采用的最高责任追究方式，“○”为可选择采用的责任追究方式，下表同；</w:t>
      </w:r>
    </w:p>
    <w:p>
      <w:pPr>
        <w:adjustRightInd w:val="0"/>
        <w:snapToGrid w:val="0"/>
        <w:ind w:left="1118" w:leftChars="399" w:hanging="280" w:hanging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4.通报批评的范围根据发现问题的数量、问题等级和直接责任单位的性质确定；问题性质严重、影响恶劣的，可直接向省级人民政府分管负责同志和主要负责同志通报，下表同；</w:t>
      </w:r>
    </w:p>
    <w:p>
      <w:pPr>
        <w:adjustRightInd w:val="0"/>
        <w:snapToGrid w:val="0"/>
        <w:ind w:left="1118" w:leftChars="399" w:hanging="280" w:hanging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5.一次监督检查有多个直接责任单位的，按各责任单位所负责问题综合积分分别确定责任追究方式。</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3520B"/>
    <w:rsid w:val="55A3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2020-06-23T01:07:00Z</dcterms:created>
  <dc:creator>why</dc:creator>
  <cp:lastModifiedBy>why</cp:lastModifiedBy>
  <dcterms:modified xsi:type="dcterms:W3CDTF">2020-06-23T01:08:11Z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