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ascii="Times New Roman" w:hAnsi="Times New Roman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1</w:t>
      </w:r>
    </w:p>
    <w:p>
      <w:pPr>
        <w:spacing w:line="600" w:lineRule="exact"/>
        <w:ind w:firstLine="640" w:firstLineChars="200"/>
        <w:jc w:val="left"/>
        <w:rPr>
          <w:rFonts w:ascii="Times New Roman" w:hAnsi="Times New Roman" w:eastAsia="黑体"/>
          <w:sz w:val="32"/>
          <w:szCs w:val="32"/>
        </w:rPr>
      </w:pPr>
    </w:p>
    <w:p>
      <w:pPr>
        <w:pStyle w:val="3"/>
        <w:snapToGrid w:val="0"/>
        <w:spacing w:line="600" w:lineRule="exact"/>
        <w:ind w:firstLine="0" w:firstLineChars="0"/>
        <w:jc w:val="center"/>
        <w:rPr>
          <w:rFonts w:ascii="Times New Roman" w:hAnsi="Times New Roman" w:eastAsia="方正小标宋_GBK"/>
          <w:b/>
          <w:sz w:val="44"/>
          <w:szCs w:val="36"/>
        </w:rPr>
      </w:pPr>
      <w:r>
        <w:rPr>
          <w:rFonts w:ascii="Times New Roman" w:hAnsi="Times New Roman" w:eastAsia="方正小标宋_GBK"/>
          <w:b/>
          <w:sz w:val="44"/>
          <w:szCs w:val="36"/>
        </w:rPr>
        <w:t>水土保持方案示范文本</w:t>
      </w:r>
    </w:p>
    <w:p>
      <w:pPr>
        <w:pStyle w:val="3"/>
        <w:snapToGrid w:val="0"/>
        <w:spacing w:line="600" w:lineRule="exact"/>
        <w:ind w:firstLine="0" w:firstLineChars="0"/>
        <w:jc w:val="center"/>
        <w:rPr>
          <w:rFonts w:ascii="Times New Roman" w:hAnsi="Times New Roman" w:eastAsia="方正小标宋_GBK"/>
          <w:b/>
          <w:sz w:val="44"/>
          <w:szCs w:val="36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楷体_GB2312"/>
          <w:bCs/>
          <w:sz w:val="30"/>
          <w:szCs w:val="30"/>
        </w:rPr>
      </w:pPr>
      <w:r>
        <w:rPr>
          <w:rFonts w:ascii="Times New Roman" w:hAnsi="Times New Roman" w:eastAsia="楷体_GB2312"/>
          <w:bCs/>
          <w:sz w:val="32"/>
          <w:szCs w:val="32"/>
        </w:rPr>
        <w:t>说明：以下内容摘自《生产建设项目水土保持技术标准》（GB 50433-2018）附录B 水土保持方案编制规定。</w:t>
      </w:r>
    </w:p>
    <w:p>
      <w:pPr>
        <w:spacing w:line="600" w:lineRule="exact"/>
        <w:ind w:firstLine="480" w:firstLineChars="200"/>
        <w:rPr>
          <w:rFonts w:ascii="Times New Roman" w:hAnsi="Times New Roman" w:eastAsia="仿宋_GB2312"/>
          <w:sz w:val="24"/>
        </w:rPr>
      </w:pPr>
    </w:p>
    <w:p>
      <w:pPr>
        <w:spacing w:line="600" w:lineRule="exact"/>
        <w:jc w:val="center"/>
        <w:rPr>
          <w:rFonts w:ascii="Times New Roman" w:hAnsi="Times New Roman" w:eastAsia="方正小标宋_GBK"/>
          <w:b/>
          <w:sz w:val="36"/>
          <w:szCs w:val="32"/>
        </w:rPr>
      </w:pPr>
      <w:r>
        <w:rPr>
          <w:rFonts w:ascii="Times New Roman" w:hAnsi="Times New Roman" w:eastAsia="方正小标宋_GBK"/>
          <w:b/>
          <w:sz w:val="36"/>
          <w:szCs w:val="32"/>
        </w:rPr>
        <w:t>水土保持方案报告书内容及章节编排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/>
          <w:bCs/>
          <w:kern w:val="0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3" w:firstLineChars="200"/>
        <w:rPr>
          <w:rFonts w:ascii="Times New Roman" w:hAnsi="Times New Roman" w:eastAsia="黑体"/>
          <w:b/>
          <w:bCs/>
          <w:sz w:val="32"/>
          <w:szCs w:val="32"/>
        </w:rPr>
      </w:pPr>
      <w:r>
        <w:rPr>
          <w:rFonts w:ascii="Times New Roman" w:hAnsi="Times New Roman" w:eastAsia="黑体"/>
          <w:b/>
          <w:bCs/>
          <w:kern w:val="0"/>
          <w:sz w:val="32"/>
          <w:szCs w:val="32"/>
        </w:rPr>
        <w:t>1</w:t>
      </w:r>
      <w:r>
        <w:rPr>
          <w:rFonts w:ascii="Times New Roman" w:hAnsi="Times New Roman" w:eastAsia="黑体"/>
          <w:b/>
          <w:bCs/>
          <w:sz w:val="32"/>
          <w:szCs w:val="32"/>
        </w:rPr>
        <w:t xml:space="preserve">  综合说明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Times New Roman" w:hAnsi="Times New Roman" w:eastAsia="楷体_GB2312"/>
          <w:b/>
          <w:bCs/>
          <w:sz w:val="32"/>
          <w:szCs w:val="32"/>
        </w:rPr>
      </w:pPr>
      <w:r>
        <w:rPr>
          <w:rFonts w:ascii="Times New Roman" w:hAnsi="Times New Roman" w:eastAsia="楷体_GB2312"/>
          <w:b/>
          <w:bCs/>
          <w:kern w:val="0"/>
          <w:sz w:val="32"/>
          <w:szCs w:val="32"/>
        </w:rPr>
        <w:t>1.1</w:t>
      </w:r>
      <w:r>
        <w:rPr>
          <w:rFonts w:ascii="Times New Roman" w:hAnsi="Times New Roman" w:eastAsia="楷体_GB2312"/>
          <w:b/>
          <w:bCs/>
          <w:sz w:val="32"/>
          <w:szCs w:val="32"/>
        </w:rPr>
        <w:t xml:space="preserve"> 项目简况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Cs/>
          <w:kern w:val="0"/>
          <w:sz w:val="32"/>
          <w:szCs w:val="32"/>
        </w:rPr>
        <w:t>1.1.1</w:t>
      </w:r>
      <w:r>
        <w:rPr>
          <w:rFonts w:ascii="Times New Roman" w:hAnsi="Times New Roman" w:eastAsia="仿宋_GB2312"/>
          <w:b/>
          <w:bCs/>
          <w:sz w:val="32"/>
          <w:szCs w:val="32"/>
        </w:rPr>
        <w:t xml:space="preserve"> </w:t>
      </w:r>
      <w:r>
        <w:rPr>
          <w:rFonts w:ascii="Times New Roman" w:hAnsi="Times New Roman" w:eastAsia="仿宋_GB2312"/>
          <w:bCs/>
          <w:sz w:val="32"/>
          <w:szCs w:val="32"/>
        </w:rPr>
        <w:t>项目基本情况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Cs/>
          <w:sz w:val="32"/>
          <w:szCs w:val="32"/>
        </w:rPr>
        <w:t>简述项目建设必要性、项目位置（点型工程介绍到乡级、线型工程介绍到县级）、建设性质、规模与等级、项目组成、拆迁（移民）数量及安置方式、专项设施改（迁）建、开工与完工时间、总工期、总投资与土建投资等，明确工程占地面积、土石方“挖、填、借、余（弃）”量、取土（石、砂）场和弃土（渣、灰、矸石、尾矿）场数量。矿山工程尚应明确地质储量、首采区位置、服务年限、生产期年排弃渣量等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Cs/>
          <w:kern w:val="0"/>
          <w:sz w:val="32"/>
          <w:szCs w:val="32"/>
        </w:rPr>
        <w:t>1.1.2</w:t>
      </w:r>
      <w:r>
        <w:rPr>
          <w:rFonts w:ascii="Times New Roman" w:hAnsi="Times New Roman" w:eastAsia="仿宋_GB2312"/>
          <w:bCs/>
          <w:sz w:val="32"/>
          <w:szCs w:val="32"/>
        </w:rPr>
        <w:t xml:space="preserve"> 项目前期工作进展情况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Cs/>
          <w:sz w:val="32"/>
          <w:szCs w:val="32"/>
        </w:rPr>
        <w:t>简述项目工程设计情况和方案编制过程。已开工项目补报水土保持方案的，应介绍项目进展情况。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Cs/>
          <w:kern w:val="0"/>
          <w:sz w:val="32"/>
          <w:szCs w:val="32"/>
        </w:rPr>
        <w:t>1.1.3</w:t>
      </w:r>
      <w:r>
        <w:rPr>
          <w:rFonts w:ascii="Times New Roman" w:hAnsi="Times New Roman" w:eastAsia="仿宋_GB2312"/>
          <w:b/>
          <w:bCs/>
          <w:sz w:val="32"/>
          <w:szCs w:val="32"/>
        </w:rPr>
        <w:t xml:space="preserve"> </w:t>
      </w:r>
      <w:r>
        <w:rPr>
          <w:rFonts w:ascii="Times New Roman" w:hAnsi="Times New Roman" w:eastAsia="仿宋_GB2312"/>
          <w:bCs/>
          <w:sz w:val="32"/>
          <w:szCs w:val="32"/>
        </w:rPr>
        <w:t>自然简况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Cs/>
          <w:sz w:val="32"/>
          <w:szCs w:val="32"/>
        </w:rPr>
        <w:t>简述项目区地貌类型、气候类型与主要气象要素、土壤类型、林草植被类型与覆盖率、水土保持区及容许土壤流失量、土壤侵蚀类型及强度、水土流失重点防治区、涉及水土保持敏感区情况。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Times New Roman" w:hAnsi="Times New Roman" w:eastAsia="楷体_GB2312"/>
          <w:b/>
          <w:bCs/>
          <w:kern w:val="0"/>
          <w:sz w:val="32"/>
          <w:szCs w:val="32"/>
        </w:rPr>
      </w:pPr>
      <w:r>
        <w:rPr>
          <w:rFonts w:ascii="Times New Roman" w:hAnsi="Times New Roman" w:eastAsia="楷体_GB2312"/>
          <w:b/>
          <w:bCs/>
          <w:kern w:val="0"/>
          <w:sz w:val="32"/>
          <w:szCs w:val="32"/>
        </w:rPr>
        <w:t>1.2 编制依据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Cs/>
          <w:sz w:val="32"/>
          <w:szCs w:val="32"/>
        </w:rPr>
        <w:t>列出编制水土保持方案所依据的主要水土保持法律法规、技术标准以及技术资料。其他所涉及的相关法律法规、规范性文件、技术标准在报告书相应位置说明。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Times New Roman" w:hAnsi="Times New Roman" w:eastAsia="楷体_GB2312"/>
          <w:b/>
          <w:bCs/>
          <w:kern w:val="0"/>
          <w:sz w:val="32"/>
          <w:szCs w:val="32"/>
        </w:rPr>
      </w:pPr>
      <w:r>
        <w:rPr>
          <w:rFonts w:ascii="Times New Roman" w:hAnsi="Times New Roman" w:eastAsia="楷体_GB2312"/>
          <w:b/>
          <w:bCs/>
          <w:kern w:val="0"/>
          <w:sz w:val="32"/>
          <w:szCs w:val="32"/>
        </w:rPr>
        <w:t>1.3 设计水平年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Cs/>
          <w:sz w:val="32"/>
          <w:szCs w:val="32"/>
        </w:rPr>
        <w:t>根据本标准第4.1.3条的规定，确定水土保持方案设计水平年。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Times New Roman" w:hAnsi="Times New Roman" w:eastAsia="楷体_GB2312"/>
          <w:b/>
          <w:bCs/>
          <w:kern w:val="0"/>
          <w:sz w:val="32"/>
          <w:szCs w:val="32"/>
        </w:rPr>
      </w:pPr>
      <w:r>
        <w:rPr>
          <w:rFonts w:ascii="Times New Roman" w:hAnsi="Times New Roman" w:eastAsia="楷体_GB2312"/>
          <w:b/>
          <w:bCs/>
          <w:kern w:val="0"/>
          <w:sz w:val="32"/>
          <w:szCs w:val="32"/>
        </w:rPr>
        <w:t>1.4 水土流失防治责任范围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Cs/>
          <w:sz w:val="32"/>
          <w:szCs w:val="32"/>
        </w:rPr>
        <w:t>按县级行政区确定水土流失防治责任范围及面积（对跨县级以上行政区的项目，报告书后应附防治责任范围表），并符合本标准第4.4.1条的规定。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Times New Roman" w:hAnsi="Times New Roman" w:eastAsia="楷体_GB2312"/>
          <w:b/>
          <w:bCs/>
          <w:kern w:val="0"/>
          <w:sz w:val="32"/>
          <w:szCs w:val="32"/>
        </w:rPr>
      </w:pPr>
      <w:r>
        <w:rPr>
          <w:rFonts w:ascii="Times New Roman" w:hAnsi="Times New Roman" w:eastAsia="楷体_GB2312"/>
          <w:b/>
          <w:bCs/>
          <w:kern w:val="0"/>
          <w:sz w:val="32"/>
          <w:szCs w:val="32"/>
        </w:rPr>
        <w:t>1.5 水土流失防治目标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Cs/>
          <w:kern w:val="0"/>
          <w:sz w:val="32"/>
          <w:szCs w:val="32"/>
        </w:rPr>
        <w:t>1.5.1</w:t>
      </w:r>
      <w:r>
        <w:rPr>
          <w:rFonts w:ascii="Times New Roman" w:hAnsi="Times New Roman" w:eastAsia="仿宋_GB2312"/>
          <w:bCs/>
          <w:sz w:val="32"/>
          <w:szCs w:val="32"/>
        </w:rPr>
        <w:t xml:space="preserve"> 执行标准等级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Cs/>
          <w:sz w:val="32"/>
          <w:szCs w:val="32"/>
        </w:rPr>
        <w:t>确定项目水土流失防治标准执行等级。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Cs/>
          <w:kern w:val="0"/>
          <w:sz w:val="32"/>
          <w:szCs w:val="32"/>
        </w:rPr>
        <w:t>1.5.2</w:t>
      </w:r>
      <w:r>
        <w:rPr>
          <w:rFonts w:ascii="Times New Roman" w:hAnsi="Times New Roman" w:eastAsia="仿宋_GB2312"/>
          <w:bCs/>
          <w:sz w:val="32"/>
          <w:szCs w:val="32"/>
        </w:rPr>
        <w:t xml:space="preserve"> 防治目标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Cs/>
          <w:sz w:val="32"/>
          <w:szCs w:val="32"/>
        </w:rPr>
        <w:t>根据本标准第3.1.3条的规定，明确水土流失防治目标。线型工程有分段标准时应确定分段指标值和综合指标值（对涉及区域较大项目，报告书后应附防治标准指标计算表）。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Times New Roman" w:hAnsi="Times New Roman" w:eastAsia="楷体_GB2312"/>
          <w:b/>
          <w:bCs/>
          <w:kern w:val="0"/>
          <w:sz w:val="32"/>
          <w:szCs w:val="32"/>
        </w:rPr>
      </w:pPr>
      <w:r>
        <w:rPr>
          <w:rFonts w:ascii="Times New Roman" w:hAnsi="Times New Roman" w:eastAsia="楷体_GB2312"/>
          <w:b/>
          <w:bCs/>
          <w:kern w:val="0"/>
          <w:sz w:val="32"/>
          <w:szCs w:val="32"/>
        </w:rPr>
        <w:t>1.6  项目水土保持评价结论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Cs/>
          <w:kern w:val="0"/>
          <w:sz w:val="32"/>
          <w:szCs w:val="32"/>
        </w:rPr>
        <w:t xml:space="preserve">1.6.1 </w:t>
      </w:r>
      <w:r>
        <w:rPr>
          <w:rFonts w:ascii="Times New Roman" w:hAnsi="Times New Roman" w:eastAsia="仿宋_GB2312"/>
          <w:bCs/>
          <w:sz w:val="32"/>
          <w:szCs w:val="32"/>
        </w:rPr>
        <w:t>主体工程选址（线）评价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Cs/>
          <w:sz w:val="32"/>
          <w:szCs w:val="32"/>
        </w:rPr>
        <w:t>简述从水土保持角度对主体工程选址（线）的评价结论。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Cs/>
          <w:kern w:val="0"/>
          <w:sz w:val="32"/>
          <w:szCs w:val="32"/>
        </w:rPr>
        <w:t>1.6.2</w:t>
      </w:r>
      <w:r>
        <w:rPr>
          <w:rFonts w:ascii="Times New Roman" w:hAnsi="Times New Roman" w:eastAsia="仿宋_GB2312"/>
          <w:bCs/>
          <w:sz w:val="32"/>
          <w:szCs w:val="32"/>
        </w:rPr>
        <w:t xml:space="preserve"> 建设方案与布局评价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Cs/>
          <w:sz w:val="32"/>
          <w:szCs w:val="32"/>
        </w:rPr>
        <w:t>简述从水土保持角度对建设方案、工程占地、土石方平衡、取土（石、砂）场设置、弃土（渣、灰、矸石、尾矿）场设置、施工方法与工艺、具有水土保持功能工程的评价结论。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Times New Roman" w:hAnsi="Times New Roman" w:eastAsia="楷体_GB2312"/>
          <w:b/>
          <w:bCs/>
          <w:kern w:val="0"/>
          <w:sz w:val="32"/>
          <w:szCs w:val="32"/>
        </w:rPr>
      </w:pPr>
      <w:r>
        <w:rPr>
          <w:rFonts w:ascii="Times New Roman" w:hAnsi="Times New Roman" w:eastAsia="楷体_GB2312"/>
          <w:b/>
          <w:bCs/>
          <w:kern w:val="0"/>
          <w:sz w:val="32"/>
          <w:szCs w:val="32"/>
        </w:rPr>
        <w:t>1.7 水土流失预测结果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Cs/>
          <w:sz w:val="32"/>
          <w:szCs w:val="32"/>
        </w:rPr>
        <w:t>简述可能造成土壤流失总量、新增土壤流失量、产生水土流失的重点部位、水土流失主要危害。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Times New Roman" w:hAnsi="Times New Roman" w:eastAsia="楷体_GB2312"/>
          <w:b/>
          <w:bCs/>
          <w:kern w:val="0"/>
          <w:sz w:val="32"/>
          <w:szCs w:val="32"/>
        </w:rPr>
      </w:pPr>
      <w:r>
        <w:rPr>
          <w:rFonts w:ascii="Times New Roman" w:hAnsi="Times New Roman" w:eastAsia="楷体_GB2312"/>
          <w:b/>
          <w:bCs/>
          <w:kern w:val="0"/>
          <w:sz w:val="32"/>
          <w:szCs w:val="32"/>
        </w:rPr>
        <w:t>1.8 水土保持措施布设成果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Cs/>
          <w:sz w:val="32"/>
          <w:szCs w:val="32"/>
        </w:rPr>
        <w:t>简述各防治区措施布设情况。工程措施应明确措施名称、结构形式、布设位置、实施时段，植物措施应明确植物类型、布设位置、实施时段，临时措施应明确措施名称、布设位置、实施时段。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Cs/>
          <w:sz w:val="32"/>
          <w:szCs w:val="32"/>
        </w:rPr>
        <w:t>明确项目水土保持措施主要工程量。植物措施统计面积，工程措施统计拦挡措施的体积、排水措施长度、边坡防护面积、土地整治面积、表土剥离数量，临时措施统计临时拦挡、排水数量及苫盖面积等。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Times New Roman" w:hAnsi="Times New Roman" w:eastAsia="楷体_GB2312"/>
          <w:b/>
          <w:bCs/>
          <w:kern w:val="0"/>
          <w:sz w:val="32"/>
          <w:szCs w:val="32"/>
        </w:rPr>
      </w:pPr>
      <w:r>
        <w:rPr>
          <w:rFonts w:ascii="Times New Roman" w:hAnsi="Times New Roman" w:eastAsia="楷体_GB2312"/>
          <w:b/>
          <w:bCs/>
          <w:kern w:val="0"/>
          <w:sz w:val="32"/>
          <w:szCs w:val="32"/>
        </w:rPr>
        <w:t>1.9 水土保持监测方案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Cs/>
          <w:sz w:val="32"/>
          <w:szCs w:val="32"/>
        </w:rPr>
        <w:t>简述水土保持监测内容、时段、方法和点位布设情况。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Times New Roman" w:hAnsi="Times New Roman" w:eastAsia="楷体_GB2312"/>
          <w:b/>
          <w:bCs/>
          <w:kern w:val="0"/>
          <w:sz w:val="32"/>
          <w:szCs w:val="32"/>
        </w:rPr>
      </w:pPr>
      <w:r>
        <w:rPr>
          <w:rFonts w:ascii="Times New Roman" w:hAnsi="Times New Roman" w:eastAsia="楷体_GB2312"/>
          <w:b/>
          <w:bCs/>
          <w:kern w:val="0"/>
          <w:sz w:val="32"/>
          <w:szCs w:val="32"/>
        </w:rPr>
        <w:t>1.10 水土保持投资及效益分析成果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Cs/>
          <w:sz w:val="32"/>
          <w:szCs w:val="32"/>
        </w:rPr>
        <w:t>简述水土保持总投资和工程措施投资、植物措施投资、临时措施投资、独立费用（含水土保持监测费、水土保持监理费）、水土保持补偿费。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Cs/>
          <w:sz w:val="32"/>
          <w:szCs w:val="32"/>
        </w:rPr>
        <w:t>简述方案实施后防治指标的可能实现情况和可治理水土流失面积、林草植被建设面积、减少水土流失量。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Times New Roman" w:hAnsi="Times New Roman" w:eastAsia="楷体_GB2312"/>
          <w:b/>
          <w:bCs/>
          <w:kern w:val="0"/>
          <w:sz w:val="32"/>
          <w:szCs w:val="32"/>
        </w:rPr>
      </w:pPr>
      <w:r>
        <w:rPr>
          <w:rFonts w:ascii="Times New Roman" w:hAnsi="Times New Roman" w:eastAsia="楷体_GB2312"/>
          <w:b/>
          <w:bCs/>
          <w:kern w:val="0"/>
          <w:sz w:val="32"/>
          <w:szCs w:val="32"/>
        </w:rPr>
        <w:t>1.11  结论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Cs/>
          <w:sz w:val="32"/>
          <w:szCs w:val="32"/>
        </w:rPr>
        <w:t>明确项目建设从选址选线、建设方案、水土流失防治等方面是否符合水土保持法律法规、技术标准的规定，实施水土保持措施后是否能达到控制水土流失、保护生态环境的目的，从水土保持角度对工程设计、施工和建设管理提出的要求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bCs/>
          <w:sz w:val="32"/>
          <w:szCs w:val="32"/>
        </w:rPr>
        <w:t>综合说明后应附水土保持方案特性表，格式内容要求见表1。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Times New Roman" w:hAnsi="Times New Roman" w:eastAsia="黑体"/>
          <w:b/>
          <w:bCs/>
          <w:sz w:val="32"/>
          <w:szCs w:val="32"/>
        </w:rPr>
      </w:pPr>
      <w:r>
        <w:rPr>
          <w:rFonts w:ascii="Times New Roman" w:hAnsi="Times New Roman" w:eastAsia="黑体"/>
          <w:b/>
          <w:bCs/>
          <w:kern w:val="0"/>
          <w:sz w:val="32"/>
          <w:szCs w:val="32"/>
        </w:rPr>
        <w:t>2</w:t>
      </w:r>
      <w:r>
        <w:rPr>
          <w:rFonts w:ascii="Times New Roman" w:hAnsi="Times New Roman" w:eastAsia="黑体"/>
          <w:b/>
          <w:bCs/>
          <w:sz w:val="32"/>
          <w:szCs w:val="32"/>
        </w:rPr>
        <w:t xml:space="preserve">  项目概况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Times New Roman" w:hAnsi="Times New Roman" w:eastAsia="楷体_GB2312"/>
          <w:b/>
          <w:bCs/>
          <w:kern w:val="0"/>
          <w:sz w:val="32"/>
          <w:szCs w:val="32"/>
        </w:rPr>
      </w:pPr>
      <w:r>
        <w:rPr>
          <w:rFonts w:ascii="Times New Roman" w:hAnsi="Times New Roman" w:eastAsia="楷体_GB2312"/>
          <w:b/>
          <w:bCs/>
          <w:kern w:val="0"/>
          <w:sz w:val="32"/>
          <w:szCs w:val="32"/>
        </w:rPr>
        <w:t>2.1 项目组成及工程布置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bCs/>
          <w:sz w:val="32"/>
          <w:szCs w:val="32"/>
        </w:rPr>
        <w:t>根据本标准第4.2.1条第2款和第9款的规定编制，符合第本标准4.2.4条的有关规定，并应有项目组成及主要技术指标表。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Times New Roman" w:hAnsi="Times New Roman" w:eastAsia="楷体_GB2312"/>
          <w:b/>
          <w:bCs/>
          <w:kern w:val="0"/>
          <w:sz w:val="32"/>
          <w:szCs w:val="32"/>
        </w:rPr>
      </w:pPr>
      <w:r>
        <w:rPr>
          <w:rFonts w:ascii="Times New Roman" w:hAnsi="Times New Roman" w:eastAsia="楷体_GB2312"/>
          <w:b/>
          <w:bCs/>
          <w:kern w:val="0"/>
          <w:sz w:val="32"/>
          <w:szCs w:val="32"/>
        </w:rPr>
        <w:t>2.2 施工组织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Cs/>
          <w:sz w:val="32"/>
          <w:szCs w:val="32"/>
        </w:rPr>
        <w:t>根据本标准第4.2.1条第3款的规定编制，并符合本标准4.2.4条的有关规定。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Times New Roman" w:hAnsi="Times New Roman" w:eastAsia="楷体_GB2312"/>
          <w:b/>
          <w:bCs/>
          <w:kern w:val="0"/>
          <w:sz w:val="32"/>
          <w:szCs w:val="32"/>
        </w:rPr>
      </w:pPr>
      <w:r>
        <w:rPr>
          <w:rFonts w:ascii="Times New Roman" w:hAnsi="Times New Roman" w:eastAsia="楷体_GB2312"/>
          <w:b/>
          <w:bCs/>
          <w:kern w:val="0"/>
          <w:sz w:val="32"/>
          <w:szCs w:val="32"/>
        </w:rPr>
        <w:t>2.3 工程占地</w:t>
      </w:r>
    </w:p>
    <w:p>
      <w:pPr>
        <w:tabs>
          <w:tab w:val="left" w:pos="360"/>
        </w:tabs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Cs/>
          <w:sz w:val="32"/>
          <w:szCs w:val="32"/>
        </w:rPr>
        <w:t>根据本标准第4.2.1条第4款的规定编制，并符合本标准批4.2.4条的有关规定。水土保持方案对工程占地有调整的应说明。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Times New Roman" w:hAnsi="Times New Roman" w:eastAsia="楷体_GB2312"/>
          <w:b/>
          <w:bCs/>
          <w:kern w:val="0"/>
          <w:sz w:val="32"/>
          <w:szCs w:val="32"/>
        </w:rPr>
      </w:pPr>
      <w:r>
        <w:rPr>
          <w:rFonts w:ascii="Times New Roman" w:hAnsi="Times New Roman" w:eastAsia="楷体_GB2312"/>
          <w:b/>
          <w:bCs/>
          <w:kern w:val="0"/>
          <w:sz w:val="32"/>
          <w:szCs w:val="32"/>
        </w:rPr>
        <w:t>2.4 土石方平衡</w:t>
      </w:r>
    </w:p>
    <w:p>
      <w:pPr>
        <w:adjustRightInd w:val="0"/>
        <w:snapToGrid w:val="0"/>
        <w:spacing w:line="600" w:lineRule="exact"/>
        <w:ind w:firstLine="624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Cs/>
          <w:spacing w:val="-4"/>
          <w:sz w:val="32"/>
          <w:szCs w:val="32"/>
        </w:rPr>
        <w:t>根据本标准第4.2.1条第5款的规定编制，并符合本标准第4.2.4</w:t>
      </w:r>
      <w:r>
        <w:rPr>
          <w:rFonts w:ascii="Times New Roman" w:hAnsi="Times New Roman" w:eastAsia="仿宋_GB2312"/>
          <w:bCs/>
          <w:sz w:val="32"/>
          <w:szCs w:val="32"/>
        </w:rPr>
        <w:t>条的有关规定。水土保持方案对工程土石量有调整的应说明。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Cs/>
          <w:sz w:val="32"/>
          <w:szCs w:val="32"/>
        </w:rPr>
        <w:t>本项目剩余表土应说明堆存、后续利用方案。工程余方应说明优先考虑综合利用情况，不能利用的应说明弃土和弃石（渣）数量和分类堆存方案。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Times New Roman" w:hAnsi="Times New Roman" w:eastAsia="楷体_GB2312"/>
          <w:b/>
          <w:bCs/>
          <w:kern w:val="0"/>
          <w:sz w:val="32"/>
          <w:szCs w:val="32"/>
        </w:rPr>
      </w:pPr>
      <w:r>
        <w:rPr>
          <w:rFonts w:ascii="Times New Roman" w:hAnsi="Times New Roman" w:eastAsia="楷体_GB2312"/>
          <w:b/>
          <w:bCs/>
          <w:kern w:val="0"/>
          <w:sz w:val="32"/>
          <w:szCs w:val="32"/>
        </w:rPr>
        <w:t>2.5 拆迁（移民）安置与专项设施改（迁）建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Cs/>
          <w:sz w:val="32"/>
          <w:szCs w:val="32"/>
        </w:rPr>
        <w:t>根据本标准第4.2.1条第6款的规定编制。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Times New Roman" w:hAnsi="Times New Roman" w:eastAsia="楷体_GB2312"/>
          <w:b/>
          <w:bCs/>
          <w:kern w:val="0"/>
          <w:sz w:val="32"/>
          <w:szCs w:val="32"/>
        </w:rPr>
      </w:pPr>
      <w:r>
        <w:rPr>
          <w:rFonts w:ascii="Times New Roman" w:hAnsi="Times New Roman" w:eastAsia="楷体_GB2312"/>
          <w:b/>
          <w:bCs/>
          <w:kern w:val="0"/>
          <w:sz w:val="32"/>
          <w:szCs w:val="32"/>
        </w:rPr>
        <w:t>2.6 施工进度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Cs/>
          <w:sz w:val="32"/>
          <w:szCs w:val="32"/>
        </w:rPr>
        <w:t>根据本标准第4.2.1条第8款的规定编制。已开工项目补报水土保持方案的，应介绍施工进展情况。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Times New Roman" w:hAnsi="Times New Roman" w:eastAsia="楷体_GB2312"/>
          <w:b/>
          <w:bCs/>
          <w:kern w:val="0"/>
          <w:sz w:val="32"/>
          <w:szCs w:val="32"/>
        </w:rPr>
      </w:pPr>
      <w:r>
        <w:rPr>
          <w:rFonts w:ascii="Times New Roman" w:hAnsi="Times New Roman" w:eastAsia="楷体_GB2312"/>
          <w:b/>
          <w:bCs/>
          <w:kern w:val="0"/>
          <w:sz w:val="32"/>
          <w:szCs w:val="32"/>
        </w:rPr>
        <w:t>2.7 自然概况</w:t>
      </w:r>
    </w:p>
    <w:p>
      <w:pPr>
        <w:tabs>
          <w:tab w:val="left" w:pos="360"/>
        </w:tabs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Cs/>
          <w:sz w:val="32"/>
          <w:szCs w:val="32"/>
        </w:rPr>
        <w:t>应符合本标准第4.2.5条第1款的规定。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Times New Roman" w:hAnsi="Times New Roman" w:eastAsia="黑体"/>
          <w:b/>
          <w:bCs/>
          <w:sz w:val="32"/>
          <w:szCs w:val="32"/>
        </w:rPr>
      </w:pPr>
      <w:r>
        <w:rPr>
          <w:rFonts w:ascii="Times New Roman" w:hAnsi="Times New Roman" w:eastAsia="黑体"/>
          <w:b/>
          <w:bCs/>
          <w:kern w:val="0"/>
          <w:sz w:val="32"/>
          <w:szCs w:val="32"/>
        </w:rPr>
        <w:t xml:space="preserve">3  </w:t>
      </w:r>
      <w:r>
        <w:rPr>
          <w:rFonts w:ascii="Times New Roman" w:hAnsi="Times New Roman" w:eastAsia="黑体"/>
          <w:b/>
          <w:bCs/>
          <w:sz w:val="32"/>
          <w:szCs w:val="32"/>
        </w:rPr>
        <w:t>项目水土保持评价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Times New Roman" w:hAnsi="Times New Roman" w:eastAsia="楷体_GB2312"/>
          <w:b/>
          <w:bCs/>
          <w:kern w:val="0"/>
          <w:sz w:val="32"/>
          <w:szCs w:val="32"/>
        </w:rPr>
      </w:pPr>
      <w:r>
        <w:rPr>
          <w:rFonts w:ascii="Times New Roman" w:hAnsi="Times New Roman" w:eastAsia="楷体_GB2312"/>
          <w:b/>
          <w:bCs/>
          <w:kern w:val="0"/>
          <w:sz w:val="32"/>
          <w:szCs w:val="32"/>
        </w:rPr>
        <w:t>3.1 主体工程选址（线）水土保持评价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Cs/>
          <w:sz w:val="32"/>
          <w:szCs w:val="32"/>
        </w:rPr>
        <w:t>根据水土保持法规、相关标准性文件和本标准第3.2.1条的规定进行评价，按本标准第4.3.12条的相关要求提出评价结论。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Times New Roman" w:hAnsi="Times New Roman" w:eastAsia="楷体_GB2312"/>
          <w:b/>
          <w:bCs/>
          <w:kern w:val="0"/>
          <w:sz w:val="32"/>
          <w:szCs w:val="32"/>
        </w:rPr>
      </w:pPr>
      <w:r>
        <w:rPr>
          <w:rFonts w:ascii="Times New Roman" w:hAnsi="Times New Roman" w:eastAsia="楷体_GB2312"/>
          <w:b/>
          <w:bCs/>
          <w:kern w:val="0"/>
          <w:sz w:val="32"/>
          <w:szCs w:val="32"/>
        </w:rPr>
        <w:t>3.2 建设方案与布局水土保持评价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Cs/>
          <w:kern w:val="0"/>
          <w:sz w:val="32"/>
          <w:szCs w:val="32"/>
        </w:rPr>
        <w:t>3.2.1</w:t>
      </w:r>
      <w:r>
        <w:rPr>
          <w:rFonts w:ascii="Times New Roman" w:hAnsi="Times New Roman" w:eastAsia="仿宋_GB2312"/>
          <w:bCs/>
          <w:sz w:val="32"/>
          <w:szCs w:val="32"/>
        </w:rPr>
        <w:t xml:space="preserve"> 建设方案评价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Cs/>
          <w:sz w:val="32"/>
          <w:szCs w:val="32"/>
        </w:rPr>
        <w:t>根据本标准第3.2.2条的规定进行评价，按本标准第4.3.12条的相关要求提出评价结论。已开工项目补报水土保持方案的，可简化工程建设方案与布局评价。涉及本标准第4.2.5条第3款所列水土保持敏感区的，应说明与本工程位置关系，按本标准第4.3.12条的相关要求提出评价结论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Cs/>
          <w:kern w:val="0"/>
          <w:sz w:val="32"/>
          <w:szCs w:val="32"/>
        </w:rPr>
        <w:t>3.2.2</w:t>
      </w:r>
      <w:r>
        <w:rPr>
          <w:rFonts w:ascii="Times New Roman" w:hAnsi="Times New Roman" w:eastAsia="仿宋_GB2312"/>
          <w:bCs/>
          <w:sz w:val="32"/>
          <w:szCs w:val="32"/>
        </w:rPr>
        <w:t xml:space="preserve"> 工程占地评价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Cs/>
          <w:sz w:val="32"/>
          <w:szCs w:val="32"/>
        </w:rPr>
        <w:t>根据本标准第4.3.5条的相关规定进行评价，按本标准第4.3.12条的相关要求提出评价结论。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Cs/>
          <w:kern w:val="0"/>
          <w:sz w:val="32"/>
          <w:szCs w:val="32"/>
        </w:rPr>
        <w:t>3.2.3</w:t>
      </w:r>
      <w:r>
        <w:rPr>
          <w:rFonts w:ascii="Times New Roman" w:hAnsi="Times New Roman" w:eastAsia="仿宋_GB2312"/>
          <w:bCs/>
          <w:sz w:val="32"/>
          <w:szCs w:val="32"/>
        </w:rPr>
        <w:t xml:space="preserve"> 土石方平衡评价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Cs/>
          <w:sz w:val="32"/>
          <w:szCs w:val="32"/>
        </w:rPr>
        <w:t>根据本标准第4.3.6条的相关规定进行评价，按本标准第4.3.12条的相关要求提出评价结论。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Cs/>
          <w:kern w:val="0"/>
          <w:sz w:val="32"/>
          <w:szCs w:val="32"/>
        </w:rPr>
        <w:t>3.2.4</w:t>
      </w:r>
      <w:r>
        <w:rPr>
          <w:rFonts w:ascii="Times New Roman" w:hAnsi="Times New Roman" w:eastAsia="仿宋_GB2312"/>
          <w:bCs/>
          <w:sz w:val="32"/>
          <w:szCs w:val="32"/>
        </w:rPr>
        <w:t xml:space="preserve"> 取土（石、砂）场设置评价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Cs/>
          <w:sz w:val="32"/>
          <w:szCs w:val="32"/>
        </w:rPr>
        <w:t>根据本标准第4.3.7条的相关规定进行评价，按本标准第4.3.12条的相关要求提出评价结论。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Cs/>
          <w:kern w:val="0"/>
          <w:sz w:val="32"/>
          <w:szCs w:val="32"/>
        </w:rPr>
        <w:t>3.2.5</w:t>
      </w:r>
      <w:r>
        <w:rPr>
          <w:rFonts w:ascii="Times New Roman" w:hAnsi="Times New Roman" w:eastAsia="仿宋_GB2312"/>
          <w:bCs/>
          <w:sz w:val="32"/>
          <w:szCs w:val="32"/>
        </w:rPr>
        <w:t xml:space="preserve"> 弃土（石、渣、灰、矸石、尾矿）场设置评价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Cs/>
          <w:sz w:val="32"/>
          <w:szCs w:val="32"/>
        </w:rPr>
        <w:t>根据本标准第4.3.8条的相关规定进行评价，按本标准第4.3.12条的相关要求提出评价结论。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Cs/>
          <w:kern w:val="0"/>
          <w:sz w:val="32"/>
          <w:szCs w:val="32"/>
        </w:rPr>
        <w:t>3.2.6</w:t>
      </w:r>
      <w:r>
        <w:rPr>
          <w:rFonts w:ascii="Times New Roman" w:hAnsi="Times New Roman" w:eastAsia="仿宋_GB2312"/>
          <w:bCs/>
          <w:sz w:val="32"/>
          <w:szCs w:val="32"/>
        </w:rPr>
        <w:t xml:space="preserve"> 施工方法与工艺评价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Cs/>
          <w:sz w:val="32"/>
          <w:szCs w:val="32"/>
        </w:rPr>
        <w:t>根据本标准第3.2.7条和第4.3.9条的规定进行评价，按本标准第4.3.12条的相关要求提出评价结论。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Cs/>
          <w:kern w:val="0"/>
          <w:sz w:val="32"/>
          <w:szCs w:val="32"/>
        </w:rPr>
        <w:t xml:space="preserve">3.2.7 </w:t>
      </w:r>
      <w:r>
        <w:rPr>
          <w:rFonts w:ascii="Times New Roman" w:hAnsi="Times New Roman" w:eastAsia="仿宋_GB2312"/>
          <w:bCs/>
          <w:sz w:val="32"/>
          <w:szCs w:val="32"/>
        </w:rPr>
        <w:t>主体工程设计中具有水土保持功能工程的评价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Cs/>
          <w:sz w:val="32"/>
          <w:szCs w:val="32"/>
        </w:rPr>
        <w:t>根据本标准第4.3.10条的规定进行评价。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Times New Roman" w:hAnsi="Times New Roman" w:eastAsia="楷体_GB2312"/>
          <w:b/>
          <w:bCs/>
          <w:kern w:val="0"/>
          <w:sz w:val="32"/>
          <w:szCs w:val="32"/>
        </w:rPr>
      </w:pPr>
      <w:r>
        <w:rPr>
          <w:rFonts w:ascii="Times New Roman" w:hAnsi="Times New Roman" w:eastAsia="楷体_GB2312"/>
          <w:b/>
          <w:bCs/>
          <w:kern w:val="0"/>
          <w:sz w:val="32"/>
          <w:szCs w:val="32"/>
        </w:rPr>
        <w:t>3.3 主体工程设计中水土保持措施界定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Cs/>
          <w:sz w:val="32"/>
          <w:szCs w:val="32"/>
        </w:rPr>
        <w:t>根据本标准4.3.11条的规定，进行主体工程设计中水土保持措施的界定，按本标准第4.3.12条的相关要求提出界定意见。已开工项目补报水土保持方案的，应介绍水土保持措施实施情况。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Times New Roman" w:hAnsi="Times New Roman" w:eastAsia="黑体"/>
          <w:b/>
          <w:bCs/>
          <w:sz w:val="32"/>
          <w:szCs w:val="32"/>
        </w:rPr>
      </w:pPr>
      <w:r>
        <w:rPr>
          <w:rFonts w:ascii="Times New Roman" w:hAnsi="Times New Roman" w:eastAsia="黑体"/>
          <w:b/>
          <w:bCs/>
          <w:kern w:val="0"/>
          <w:sz w:val="32"/>
          <w:szCs w:val="32"/>
        </w:rPr>
        <w:t xml:space="preserve">4  </w:t>
      </w:r>
      <w:r>
        <w:rPr>
          <w:rFonts w:ascii="Times New Roman" w:hAnsi="Times New Roman" w:eastAsia="黑体"/>
          <w:b/>
          <w:bCs/>
          <w:sz w:val="32"/>
          <w:szCs w:val="32"/>
        </w:rPr>
        <w:t>水土流失分析与预测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Times New Roman" w:hAnsi="Times New Roman" w:eastAsia="楷体_GB2312"/>
          <w:b/>
          <w:bCs/>
          <w:kern w:val="0"/>
          <w:sz w:val="32"/>
          <w:szCs w:val="32"/>
        </w:rPr>
      </w:pPr>
      <w:r>
        <w:rPr>
          <w:rFonts w:ascii="Times New Roman" w:hAnsi="Times New Roman" w:eastAsia="楷体_GB2312"/>
          <w:b/>
          <w:bCs/>
          <w:kern w:val="0"/>
          <w:sz w:val="32"/>
          <w:szCs w:val="32"/>
        </w:rPr>
        <w:t>4.1 水土流失现状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Cs/>
          <w:sz w:val="32"/>
          <w:szCs w:val="32"/>
        </w:rPr>
        <w:t>应符合本标准第</w:t>
      </w:r>
      <w:r>
        <w:rPr>
          <w:rFonts w:ascii="Times New Roman" w:hAnsi="Times New Roman" w:eastAsia="仿宋_GB2312"/>
          <w:sz w:val="32"/>
          <w:szCs w:val="32"/>
        </w:rPr>
        <w:t>4.2.5条第2款</w:t>
      </w:r>
      <w:r>
        <w:rPr>
          <w:rFonts w:ascii="Times New Roman" w:hAnsi="Times New Roman" w:eastAsia="仿宋_GB2312"/>
          <w:bCs/>
          <w:sz w:val="32"/>
          <w:szCs w:val="32"/>
        </w:rPr>
        <w:t>的规定。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Times New Roman" w:hAnsi="Times New Roman" w:eastAsia="楷体_GB2312"/>
          <w:b/>
          <w:bCs/>
          <w:kern w:val="0"/>
          <w:sz w:val="32"/>
          <w:szCs w:val="32"/>
        </w:rPr>
      </w:pPr>
      <w:r>
        <w:rPr>
          <w:rFonts w:ascii="Times New Roman" w:hAnsi="Times New Roman" w:eastAsia="楷体_GB2312"/>
          <w:b/>
          <w:bCs/>
          <w:kern w:val="0"/>
          <w:sz w:val="32"/>
          <w:szCs w:val="32"/>
        </w:rPr>
        <w:t>4.2 水土流失影响因素分析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Cs/>
          <w:sz w:val="32"/>
          <w:szCs w:val="32"/>
        </w:rPr>
        <w:t>根据项目区自然条件、工程施工特点，分析工程建设与生产对水土流失的影响。明确建设和生产过程中扰动地表、损毁植被面积，废弃土（石、渣、灰、矸石、尾矿）量。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Times New Roman" w:hAnsi="Times New Roman" w:eastAsia="楷体_GB2312"/>
          <w:b/>
          <w:bCs/>
          <w:kern w:val="0"/>
          <w:sz w:val="32"/>
          <w:szCs w:val="32"/>
        </w:rPr>
      </w:pPr>
      <w:r>
        <w:rPr>
          <w:rFonts w:ascii="Times New Roman" w:hAnsi="Times New Roman" w:eastAsia="楷体_GB2312"/>
          <w:b/>
          <w:bCs/>
          <w:kern w:val="0"/>
          <w:sz w:val="32"/>
          <w:szCs w:val="32"/>
        </w:rPr>
        <w:t>4.3 土壤流失量预测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Cs/>
          <w:kern w:val="0"/>
          <w:sz w:val="32"/>
          <w:szCs w:val="32"/>
        </w:rPr>
        <w:t xml:space="preserve">4.3.1 </w:t>
      </w:r>
      <w:r>
        <w:rPr>
          <w:rFonts w:ascii="Times New Roman" w:hAnsi="Times New Roman" w:eastAsia="仿宋_GB2312"/>
          <w:bCs/>
          <w:sz w:val="32"/>
          <w:szCs w:val="32"/>
        </w:rPr>
        <w:t>预测单元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Cs/>
          <w:sz w:val="32"/>
          <w:szCs w:val="32"/>
        </w:rPr>
        <w:t>本标准第4.5.4条和4.5.7条的规定进行确定。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Cs/>
          <w:kern w:val="0"/>
          <w:sz w:val="32"/>
          <w:szCs w:val="32"/>
        </w:rPr>
        <w:t xml:space="preserve">4.3.2 </w:t>
      </w:r>
      <w:r>
        <w:rPr>
          <w:rFonts w:ascii="Times New Roman" w:hAnsi="Times New Roman" w:eastAsia="仿宋_GB2312"/>
          <w:bCs/>
          <w:sz w:val="32"/>
          <w:szCs w:val="32"/>
        </w:rPr>
        <w:t>预测时段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Cs/>
          <w:sz w:val="32"/>
          <w:szCs w:val="32"/>
        </w:rPr>
        <w:t>根据本标准第4.5.6条的规定进行确定。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Cs/>
          <w:kern w:val="0"/>
          <w:sz w:val="32"/>
          <w:szCs w:val="32"/>
        </w:rPr>
        <w:t>4.3.3</w:t>
      </w:r>
      <w:r>
        <w:rPr>
          <w:rFonts w:ascii="Times New Roman" w:hAnsi="Times New Roman" w:eastAsia="仿宋_GB2312"/>
          <w:bCs/>
          <w:sz w:val="32"/>
          <w:szCs w:val="32"/>
        </w:rPr>
        <w:t>土壤侵蚀模数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Cs/>
          <w:sz w:val="32"/>
          <w:szCs w:val="32"/>
        </w:rPr>
        <w:t>根据本标准第4.5.5条的规定进行确定。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Cs/>
          <w:kern w:val="0"/>
          <w:sz w:val="32"/>
          <w:szCs w:val="32"/>
        </w:rPr>
        <w:t>4.3.4</w:t>
      </w:r>
      <w:r>
        <w:rPr>
          <w:rFonts w:ascii="Times New Roman" w:hAnsi="Times New Roman" w:eastAsia="仿宋_GB2312"/>
          <w:bCs/>
          <w:sz w:val="32"/>
          <w:szCs w:val="32"/>
        </w:rPr>
        <w:t>预测结果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Cs/>
          <w:sz w:val="32"/>
          <w:szCs w:val="32"/>
        </w:rPr>
        <w:t>本规范第4.5.3条的规定进行计算，满足本规范第4.5.9条的相关要求。已开工项目补报水土保持方案的，还应对已造成的水土流失量进行调查。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Times New Roman" w:hAnsi="Times New Roman" w:eastAsia="楷体_GB2312"/>
          <w:b/>
          <w:bCs/>
          <w:kern w:val="0"/>
          <w:sz w:val="32"/>
          <w:szCs w:val="32"/>
        </w:rPr>
      </w:pPr>
      <w:r>
        <w:rPr>
          <w:rFonts w:ascii="Times New Roman" w:hAnsi="Times New Roman" w:eastAsia="楷体_GB2312"/>
          <w:b/>
          <w:bCs/>
          <w:kern w:val="0"/>
          <w:sz w:val="32"/>
          <w:szCs w:val="32"/>
        </w:rPr>
        <w:t>4.4 水土流失危害分析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Cs/>
          <w:sz w:val="32"/>
          <w:szCs w:val="32"/>
        </w:rPr>
        <w:t>根据本标准第4.5.8条的规定进行分析，并符合本标准4.5.9条的相关规定。已开工项目补报水土保持方案的，还应对已造成水土流失危害进行调查。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Times New Roman" w:hAnsi="Times New Roman" w:eastAsia="楷体_GB2312"/>
          <w:b/>
          <w:bCs/>
          <w:kern w:val="0"/>
          <w:sz w:val="32"/>
          <w:szCs w:val="32"/>
        </w:rPr>
      </w:pPr>
      <w:r>
        <w:rPr>
          <w:rFonts w:ascii="Times New Roman" w:hAnsi="Times New Roman" w:eastAsia="楷体_GB2312"/>
          <w:b/>
          <w:bCs/>
          <w:kern w:val="0"/>
          <w:sz w:val="32"/>
          <w:szCs w:val="32"/>
        </w:rPr>
        <w:t>4.5 指导性意见</w:t>
      </w:r>
    </w:p>
    <w:p>
      <w:pPr>
        <w:adjustRightInd w:val="0"/>
        <w:snapToGrid w:val="0"/>
        <w:spacing w:line="600" w:lineRule="exact"/>
        <w:ind w:firstLine="616" w:firstLineChars="200"/>
        <w:rPr>
          <w:rFonts w:ascii="Times New Roman" w:hAnsi="Times New Roman" w:eastAsia="仿宋_GB2312"/>
          <w:bCs/>
          <w:spacing w:val="-6"/>
          <w:sz w:val="32"/>
          <w:szCs w:val="32"/>
        </w:rPr>
      </w:pPr>
      <w:r>
        <w:rPr>
          <w:rFonts w:ascii="Times New Roman" w:hAnsi="Times New Roman" w:eastAsia="仿宋_GB2312"/>
          <w:bCs/>
          <w:spacing w:val="-6"/>
          <w:sz w:val="32"/>
          <w:szCs w:val="32"/>
        </w:rPr>
        <w:t>根据水土流失预测结果，提出水土流失防治和监测的重点区域。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Times New Roman" w:hAnsi="Times New Roman" w:eastAsia="黑体"/>
          <w:b/>
          <w:bCs/>
          <w:kern w:val="0"/>
          <w:sz w:val="32"/>
          <w:szCs w:val="32"/>
        </w:rPr>
      </w:pPr>
      <w:r>
        <w:rPr>
          <w:rFonts w:ascii="Times New Roman" w:hAnsi="Times New Roman" w:eastAsia="黑体"/>
          <w:b/>
          <w:bCs/>
          <w:kern w:val="0"/>
          <w:sz w:val="32"/>
          <w:szCs w:val="32"/>
        </w:rPr>
        <w:t xml:space="preserve">5 </w:t>
      </w:r>
      <w:r>
        <w:rPr>
          <w:rFonts w:ascii="Times New Roman" w:hAnsi="Times New Roman" w:eastAsia="黑体"/>
          <w:b/>
          <w:bCs/>
          <w:sz w:val="32"/>
          <w:szCs w:val="32"/>
        </w:rPr>
        <w:t>水土保持措施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Times New Roman" w:hAnsi="Times New Roman" w:eastAsia="楷体_GB2312"/>
          <w:b/>
          <w:bCs/>
          <w:kern w:val="0"/>
          <w:sz w:val="32"/>
          <w:szCs w:val="32"/>
        </w:rPr>
      </w:pPr>
      <w:r>
        <w:rPr>
          <w:rFonts w:ascii="Times New Roman" w:hAnsi="Times New Roman" w:eastAsia="楷体_GB2312"/>
          <w:b/>
          <w:bCs/>
          <w:kern w:val="0"/>
          <w:sz w:val="32"/>
          <w:szCs w:val="32"/>
        </w:rPr>
        <w:t>5.1 防治区划分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Cs/>
          <w:sz w:val="32"/>
          <w:szCs w:val="32"/>
        </w:rPr>
        <w:t>防治区应根据本标准第4.4.2条的规定进行划分。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Times New Roman" w:hAnsi="Times New Roman" w:eastAsia="楷体_GB2312"/>
          <w:b/>
          <w:bCs/>
          <w:kern w:val="0"/>
          <w:sz w:val="32"/>
          <w:szCs w:val="32"/>
        </w:rPr>
      </w:pPr>
      <w:r>
        <w:rPr>
          <w:rFonts w:ascii="Times New Roman" w:hAnsi="Times New Roman" w:eastAsia="楷体_GB2312"/>
          <w:b/>
          <w:bCs/>
          <w:kern w:val="0"/>
          <w:sz w:val="32"/>
          <w:szCs w:val="32"/>
        </w:rPr>
        <w:t>5.2 措施总体布局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Cs/>
          <w:sz w:val="32"/>
          <w:szCs w:val="32"/>
        </w:rPr>
        <w:t>根据本标准第4.6.2和第4.6.3条的规定进行，并符合本标准第4.6.16条的相关规定。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Times New Roman" w:hAnsi="Times New Roman" w:eastAsia="楷体_GB2312"/>
          <w:b/>
          <w:bCs/>
          <w:kern w:val="0"/>
          <w:sz w:val="32"/>
          <w:szCs w:val="32"/>
        </w:rPr>
      </w:pPr>
      <w:r>
        <w:rPr>
          <w:rFonts w:ascii="Times New Roman" w:hAnsi="Times New Roman" w:eastAsia="楷体_GB2312"/>
          <w:b/>
          <w:bCs/>
          <w:kern w:val="0"/>
          <w:sz w:val="32"/>
          <w:szCs w:val="32"/>
        </w:rPr>
        <w:t>5.3 分区措施布设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Cs/>
          <w:sz w:val="32"/>
          <w:szCs w:val="32"/>
        </w:rPr>
        <w:t>根据本标准第4.6.4条～第4.6.14条的规定进行，并符合本标准第4.6.16条的相关规定。已开工项目补报水土保持方案的，需明确已实施的水土保持措施布设情况，已实施的水土保持措施不做典型措施布设，按实际完成工程量计列。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Times New Roman" w:hAnsi="Times New Roman" w:eastAsia="楷体_GB2312"/>
          <w:b/>
          <w:bCs/>
          <w:kern w:val="0"/>
          <w:sz w:val="32"/>
          <w:szCs w:val="32"/>
        </w:rPr>
      </w:pPr>
      <w:r>
        <w:rPr>
          <w:rFonts w:ascii="Times New Roman" w:hAnsi="Times New Roman" w:eastAsia="楷体_GB2312"/>
          <w:b/>
          <w:bCs/>
          <w:kern w:val="0"/>
          <w:sz w:val="32"/>
          <w:szCs w:val="32"/>
        </w:rPr>
        <w:t>5.4 施工要求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Cs/>
          <w:sz w:val="32"/>
          <w:szCs w:val="32"/>
        </w:rPr>
        <w:t>根据本标准第4.6.15条规定进行，并符合本标准第4.6.16条的相关规定。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Cs/>
          <w:sz w:val="32"/>
          <w:szCs w:val="32"/>
        </w:rPr>
        <w:t>已开工项目补报水土保持方案的，已实施的水土保持措施不做施工要求。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Times New Roman" w:hAnsi="Times New Roman" w:eastAsia="黑体"/>
          <w:b/>
          <w:bCs/>
          <w:sz w:val="32"/>
          <w:szCs w:val="32"/>
        </w:rPr>
      </w:pPr>
      <w:r>
        <w:rPr>
          <w:rFonts w:ascii="Times New Roman" w:hAnsi="Times New Roman" w:eastAsia="黑体"/>
          <w:b/>
          <w:bCs/>
          <w:kern w:val="0"/>
          <w:sz w:val="32"/>
          <w:szCs w:val="32"/>
        </w:rPr>
        <w:t xml:space="preserve">6  </w:t>
      </w:r>
      <w:r>
        <w:rPr>
          <w:rFonts w:ascii="Times New Roman" w:hAnsi="Times New Roman" w:eastAsia="黑体"/>
          <w:b/>
          <w:bCs/>
          <w:sz w:val="32"/>
          <w:szCs w:val="32"/>
        </w:rPr>
        <w:t>水土保持监测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Times New Roman" w:hAnsi="Times New Roman" w:eastAsia="楷体_GB2312"/>
          <w:b/>
          <w:bCs/>
          <w:kern w:val="0"/>
          <w:sz w:val="32"/>
          <w:szCs w:val="32"/>
        </w:rPr>
      </w:pPr>
      <w:r>
        <w:rPr>
          <w:rFonts w:ascii="Times New Roman" w:hAnsi="Times New Roman" w:eastAsia="楷体_GB2312"/>
          <w:b/>
          <w:bCs/>
          <w:kern w:val="0"/>
          <w:sz w:val="32"/>
          <w:szCs w:val="32"/>
        </w:rPr>
        <w:t>6.1 范围和时段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Cs/>
          <w:sz w:val="32"/>
          <w:szCs w:val="32"/>
        </w:rPr>
        <w:t>根据本标准第4.7.2条第4.7.3条的规定编制。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Times New Roman" w:hAnsi="Times New Roman" w:eastAsia="楷体_GB2312"/>
          <w:b/>
          <w:bCs/>
          <w:kern w:val="0"/>
          <w:sz w:val="32"/>
          <w:szCs w:val="32"/>
        </w:rPr>
      </w:pPr>
      <w:r>
        <w:rPr>
          <w:rFonts w:ascii="Times New Roman" w:hAnsi="Times New Roman" w:eastAsia="楷体_GB2312"/>
          <w:b/>
          <w:bCs/>
          <w:kern w:val="0"/>
          <w:sz w:val="32"/>
          <w:szCs w:val="32"/>
        </w:rPr>
        <w:t>6.2 内容和方法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Cs/>
          <w:sz w:val="32"/>
          <w:szCs w:val="32"/>
        </w:rPr>
        <w:t>根据标准第4.7.4条～第4.7.6条的规定编制。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Times New Roman" w:hAnsi="Times New Roman" w:eastAsia="楷体_GB2312"/>
          <w:b/>
          <w:bCs/>
          <w:kern w:val="0"/>
          <w:sz w:val="32"/>
          <w:szCs w:val="32"/>
        </w:rPr>
      </w:pPr>
      <w:r>
        <w:rPr>
          <w:rFonts w:ascii="Times New Roman" w:hAnsi="Times New Roman" w:eastAsia="楷体_GB2312"/>
          <w:b/>
          <w:bCs/>
          <w:kern w:val="0"/>
          <w:sz w:val="32"/>
          <w:szCs w:val="32"/>
        </w:rPr>
        <w:t>6.3 点位布设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Cs/>
          <w:sz w:val="32"/>
          <w:szCs w:val="32"/>
        </w:rPr>
        <w:t>根据标准第4.7.7条的规定编制。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Times New Roman" w:hAnsi="Times New Roman" w:eastAsia="楷体_GB2312"/>
          <w:b/>
          <w:bCs/>
          <w:kern w:val="0"/>
          <w:sz w:val="32"/>
          <w:szCs w:val="32"/>
        </w:rPr>
      </w:pPr>
      <w:r>
        <w:rPr>
          <w:rFonts w:ascii="Times New Roman" w:hAnsi="Times New Roman" w:eastAsia="楷体_GB2312"/>
          <w:b/>
          <w:bCs/>
          <w:kern w:val="0"/>
          <w:sz w:val="32"/>
          <w:szCs w:val="32"/>
        </w:rPr>
        <w:t>6.4 实施条件和成果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Cs/>
          <w:sz w:val="32"/>
          <w:szCs w:val="32"/>
        </w:rPr>
        <w:t>根据本标准第4.7.8条和第4.7.9条的规定编制。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Cs/>
          <w:kern w:val="0"/>
          <w:sz w:val="32"/>
          <w:szCs w:val="32"/>
        </w:rPr>
        <w:t xml:space="preserve">7 </w:t>
      </w:r>
      <w:r>
        <w:rPr>
          <w:rFonts w:ascii="Times New Roman" w:hAnsi="Times New Roman" w:eastAsia="仿宋_GB2312"/>
          <w:bCs/>
          <w:sz w:val="32"/>
          <w:szCs w:val="32"/>
        </w:rPr>
        <w:t>水土保持投资估算及效益分析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Times New Roman" w:hAnsi="Times New Roman" w:eastAsia="楷体_GB2312"/>
          <w:b/>
          <w:bCs/>
          <w:kern w:val="0"/>
          <w:sz w:val="32"/>
          <w:szCs w:val="32"/>
        </w:rPr>
      </w:pPr>
      <w:r>
        <w:rPr>
          <w:rFonts w:ascii="Times New Roman" w:hAnsi="Times New Roman" w:eastAsia="楷体_GB2312"/>
          <w:b/>
          <w:bCs/>
          <w:kern w:val="0"/>
          <w:sz w:val="32"/>
          <w:szCs w:val="32"/>
        </w:rPr>
        <w:t>7.1 投资估算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Cs/>
          <w:kern w:val="0"/>
          <w:sz w:val="32"/>
          <w:szCs w:val="32"/>
        </w:rPr>
        <w:t xml:space="preserve">7.1.1 </w:t>
      </w:r>
      <w:r>
        <w:rPr>
          <w:rFonts w:ascii="Times New Roman" w:hAnsi="Times New Roman" w:eastAsia="仿宋_GB2312"/>
          <w:bCs/>
          <w:sz w:val="32"/>
          <w:szCs w:val="32"/>
        </w:rPr>
        <w:t>编制原则及依据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Cs/>
          <w:sz w:val="32"/>
          <w:szCs w:val="32"/>
        </w:rPr>
        <w:t>编制原则和依据应符合下列规定：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Cs/>
          <w:kern w:val="0"/>
          <w:sz w:val="32"/>
          <w:szCs w:val="32"/>
        </w:rPr>
        <w:t xml:space="preserve">1 </w:t>
      </w:r>
      <w:r>
        <w:rPr>
          <w:rFonts w:ascii="Times New Roman" w:hAnsi="Times New Roman" w:eastAsia="仿宋_GB2312"/>
          <w:bCs/>
          <w:sz w:val="32"/>
          <w:szCs w:val="32"/>
        </w:rPr>
        <w:t>水土保持投资估算的价格水平年、人工单价、主要材料价格、施工机械台时费、估算定额、取费项目及费率应与主体工程一致。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Cs/>
          <w:kern w:val="0"/>
          <w:sz w:val="32"/>
          <w:szCs w:val="32"/>
        </w:rPr>
        <w:t>2</w:t>
      </w:r>
      <w:r>
        <w:rPr>
          <w:rFonts w:ascii="Times New Roman" w:hAnsi="Times New Roman" w:eastAsia="仿宋_GB2312"/>
          <w:bCs/>
          <w:sz w:val="32"/>
          <w:szCs w:val="32"/>
        </w:rPr>
        <w:t xml:space="preserve"> 主体工程估算定额中未明确的，应采用水土保持或相关行业的定额、取费项目及费率。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Cs/>
          <w:kern w:val="0"/>
          <w:sz w:val="32"/>
          <w:szCs w:val="32"/>
        </w:rPr>
        <w:t>3</w:t>
      </w:r>
      <w:r>
        <w:rPr>
          <w:rFonts w:ascii="Times New Roman" w:hAnsi="Times New Roman" w:eastAsia="仿宋_GB2312"/>
          <w:bCs/>
          <w:sz w:val="32"/>
          <w:szCs w:val="32"/>
        </w:rPr>
        <w:t xml:space="preserve"> 编制依据应包括生产建设项目水土保持投资定额和估算相关规定、主体工程投资定额估算和相关规定、相关行业投资定额和估算的相关规定。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Cs/>
          <w:kern w:val="0"/>
          <w:sz w:val="32"/>
          <w:szCs w:val="32"/>
        </w:rPr>
        <w:t xml:space="preserve">7.1.2 </w:t>
      </w:r>
      <w:r>
        <w:rPr>
          <w:rFonts w:ascii="Times New Roman" w:hAnsi="Times New Roman" w:eastAsia="仿宋_GB2312"/>
          <w:bCs/>
          <w:sz w:val="32"/>
          <w:szCs w:val="32"/>
        </w:rPr>
        <w:t>编制说明与估算成果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Cs/>
          <w:kern w:val="0"/>
          <w:sz w:val="32"/>
          <w:szCs w:val="32"/>
        </w:rPr>
        <w:t>1</w:t>
      </w:r>
      <w:r>
        <w:rPr>
          <w:rFonts w:ascii="Times New Roman" w:hAnsi="Times New Roman" w:eastAsia="仿宋_GB2312"/>
          <w:bCs/>
          <w:sz w:val="32"/>
          <w:szCs w:val="32"/>
        </w:rPr>
        <w:t xml:space="preserve"> 应按相关规定列出投资估算总表、分区措施投资表（包括工程措施、植物措施、临时措施）、分年度投资估算表、独立费用计算表、水土保持补偿费计算表、工程单价汇总表、施工机械台时费汇总表、主要材料单价汇总表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Cs/>
          <w:kern w:val="0"/>
          <w:sz w:val="32"/>
          <w:szCs w:val="32"/>
        </w:rPr>
        <w:t>2</w:t>
      </w:r>
      <w:r>
        <w:rPr>
          <w:rFonts w:ascii="Times New Roman" w:hAnsi="Times New Roman" w:eastAsia="仿宋_GB2312"/>
          <w:bCs/>
          <w:sz w:val="32"/>
          <w:szCs w:val="32"/>
        </w:rPr>
        <w:t xml:space="preserve"> 水土保持投资估算总表应按分区措施费、独立费用、基本预备费和水土保持补偿费计列。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Cs/>
          <w:kern w:val="0"/>
          <w:sz w:val="32"/>
          <w:szCs w:val="32"/>
        </w:rPr>
        <w:t>3</w:t>
      </w:r>
      <w:r>
        <w:rPr>
          <w:rFonts w:ascii="Times New Roman" w:hAnsi="Times New Roman" w:eastAsia="仿宋_GB2312"/>
          <w:bCs/>
          <w:sz w:val="32"/>
          <w:szCs w:val="32"/>
        </w:rPr>
        <w:t xml:space="preserve"> 科研勘测设计费、水土保持监理费参考相关资料根据实际工作量计列。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Cs/>
          <w:kern w:val="0"/>
          <w:sz w:val="32"/>
          <w:szCs w:val="32"/>
        </w:rPr>
        <w:t>4</w:t>
      </w:r>
      <w:r>
        <w:rPr>
          <w:rFonts w:ascii="Times New Roman" w:hAnsi="Times New Roman" w:eastAsia="仿宋_GB2312"/>
          <w:bCs/>
          <w:sz w:val="32"/>
          <w:szCs w:val="32"/>
        </w:rPr>
        <w:t xml:space="preserve"> 水土保持监测费包括人工费、土建设施费、监测设备使用费和消耗性材料费，参考相关资料，结合实际工作量计列。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Cs/>
          <w:sz w:val="32"/>
          <w:szCs w:val="32"/>
        </w:rPr>
        <w:t>报告书后应附工程单价分析表。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Cs/>
          <w:sz w:val="32"/>
          <w:szCs w:val="32"/>
        </w:rPr>
        <w:t>已开工项目补报水土保持方案的，对已实施的水土保持措施投资按实际完成计列。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Times New Roman" w:hAnsi="Times New Roman" w:eastAsia="楷体_GB2312"/>
          <w:b/>
          <w:bCs/>
          <w:kern w:val="0"/>
          <w:sz w:val="32"/>
          <w:szCs w:val="32"/>
        </w:rPr>
      </w:pPr>
      <w:r>
        <w:rPr>
          <w:rFonts w:ascii="Times New Roman" w:hAnsi="Times New Roman" w:eastAsia="楷体_GB2312"/>
          <w:b/>
          <w:bCs/>
          <w:kern w:val="0"/>
          <w:sz w:val="32"/>
          <w:szCs w:val="32"/>
        </w:rPr>
        <w:t>7.2 效益分析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Cs/>
          <w:sz w:val="32"/>
          <w:szCs w:val="32"/>
        </w:rPr>
        <w:t>效益分析主要指生态效益分析，包括水土保持方案实施后，水土流失影响的控制程度，水土资源保护、恢复和合理利用情况，生态环境保护、恢复和改善情况。应说明水土流失治理面积、林草植被建设面积、可减少水土流失量、渣土挡护量、表土剥离及保护量。分析计算水土流失治理度、土壤流失控制比、渣土防护率、表土保护率、林草植被恢复率、林草覆盖率六项防治指标达到情况。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Times New Roman" w:hAnsi="Times New Roman" w:eastAsia="黑体"/>
          <w:b/>
          <w:bCs/>
          <w:sz w:val="32"/>
          <w:szCs w:val="32"/>
        </w:rPr>
      </w:pPr>
      <w:r>
        <w:rPr>
          <w:rFonts w:ascii="Times New Roman" w:hAnsi="Times New Roman" w:eastAsia="黑体"/>
          <w:b/>
          <w:bCs/>
          <w:kern w:val="0"/>
          <w:sz w:val="32"/>
          <w:szCs w:val="32"/>
        </w:rPr>
        <w:t xml:space="preserve">8  </w:t>
      </w:r>
      <w:r>
        <w:rPr>
          <w:rFonts w:ascii="Times New Roman" w:hAnsi="Times New Roman" w:eastAsia="黑体"/>
          <w:b/>
          <w:bCs/>
          <w:sz w:val="32"/>
          <w:szCs w:val="32"/>
        </w:rPr>
        <w:t>水土保持管理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Times New Roman" w:hAnsi="Times New Roman" w:eastAsia="楷体_GB2312"/>
          <w:b/>
          <w:bCs/>
          <w:kern w:val="0"/>
          <w:sz w:val="32"/>
          <w:szCs w:val="32"/>
        </w:rPr>
      </w:pPr>
      <w:r>
        <w:rPr>
          <w:rFonts w:ascii="Times New Roman" w:hAnsi="Times New Roman" w:eastAsia="楷体_GB2312"/>
          <w:b/>
          <w:bCs/>
          <w:kern w:val="0"/>
          <w:sz w:val="32"/>
          <w:szCs w:val="32"/>
        </w:rPr>
        <w:t>8.1 组织管理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Cs/>
          <w:sz w:val="32"/>
          <w:szCs w:val="32"/>
        </w:rPr>
        <w:t>明确建设单位水土保持管理机构与人员、管理制度等。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Times New Roman" w:hAnsi="Times New Roman" w:eastAsia="楷体_GB2312"/>
          <w:b/>
          <w:bCs/>
          <w:kern w:val="0"/>
          <w:sz w:val="32"/>
          <w:szCs w:val="32"/>
        </w:rPr>
      </w:pPr>
      <w:r>
        <w:rPr>
          <w:rFonts w:ascii="Times New Roman" w:hAnsi="Times New Roman" w:eastAsia="楷体_GB2312"/>
          <w:b/>
          <w:bCs/>
          <w:kern w:val="0"/>
          <w:sz w:val="32"/>
          <w:szCs w:val="32"/>
        </w:rPr>
        <w:t>8.2 后续设计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Cs/>
          <w:sz w:val="32"/>
          <w:szCs w:val="32"/>
        </w:rPr>
        <w:t>明确水土保持初步设计、施工图设计要求。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Times New Roman" w:hAnsi="Times New Roman" w:eastAsia="楷体_GB2312"/>
          <w:b/>
          <w:bCs/>
          <w:kern w:val="0"/>
          <w:sz w:val="32"/>
          <w:szCs w:val="32"/>
        </w:rPr>
      </w:pPr>
      <w:r>
        <w:rPr>
          <w:rFonts w:ascii="Times New Roman" w:hAnsi="Times New Roman" w:eastAsia="楷体_GB2312"/>
          <w:b/>
          <w:bCs/>
          <w:kern w:val="0"/>
          <w:sz w:val="32"/>
          <w:szCs w:val="32"/>
        </w:rPr>
        <w:t>8.3 水土保持监测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Cs/>
          <w:sz w:val="32"/>
          <w:szCs w:val="32"/>
        </w:rPr>
        <w:t>明确落实水土保持监测的要求。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Times New Roman" w:hAnsi="Times New Roman" w:eastAsia="楷体_GB2312"/>
          <w:b/>
          <w:bCs/>
          <w:kern w:val="0"/>
          <w:sz w:val="32"/>
          <w:szCs w:val="32"/>
        </w:rPr>
      </w:pPr>
      <w:r>
        <w:rPr>
          <w:rFonts w:ascii="Times New Roman" w:hAnsi="Times New Roman" w:eastAsia="楷体_GB2312"/>
          <w:b/>
          <w:bCs/>
          <w:kern w:val="0"/>
          <w:sz w:val="32"/>
          <w:szCs w:val="32"/>
        </w:rPr>
        <w:t>8.4 水土保持监理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Cs/>
          <w:sz w:val="32"/>
          <w:szCs w:val="32"/>
        </w:rPr>
        <w:t>明确落实水土保持监理的要求。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Times New Roman" w:hAnsi="Times New Roman" w:eastAsia="楷体_GB2312"/>
          <w:b/>
          <w:bCs/>
          <w:kern w:val="0"/>
          <w:sz w:val="32"/>
          <w:szCs w:val="32"/>
        </w:rPr>
      </w:pPr>
      <w:r>
        <w:rPr>
          <w:rFonts w:ascii="Times New Roman" w:hAnsi="Times New Roman" w:eastAsia="楷体_GB2312"/>
          <w:b/>
          <w:bCs/>
          <w:kern w:val="0"/>
          <w:sz w:val="32"/>
          <w:szCs w:val="32"/>
        </w:rPr>
        <w:t>8.5 水土保持施工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Cs/>
          <w:sz w:val="32"/>
          <w:szCs w:val="32"/>
        </w:rPr>
        <w:t>明确落实水土保持施工的要求。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Times New Roman" w:hAnsi="Times New Roman" w:eastAsia="楷体_GB2312"/>
          <w:b/>
          <w:bCs/>
          <w:kern w:val="0"/>
          <w:sz w:val="32"/>
          <w:szCs w:val="32"/>
        </w:rPr>
      </w:pPr>
      <w:r>
        <w:rPr>
          <w:rFonts w:ascii="Times New Roman" w:hAnsi="Times New Roman" w:eastAsia="楷体_GB2312"/>
          <w:b/>
          <w:bCs/>
          <w:kern w:val="0"/>
          <w:sz w:val="32"/>
          <w:szCs w:val="32"/>
        </w:rPr>
        <w:t>8.6 水土保持设施验收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Cs/>
          <w:sz w:val="32"/>
          <w:szCs w:val="32"/>
        </w:rPr>
        <w:t>明确水土保持设施验收的程序及相关要求，提出工程验收后水土保持管理要求。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Cs/>
          <w:sz w:val="32"/>
          <w:szCs w:val="32"/>
        </w:rPr>
        <w:t>附表：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Cs/>
          <w:kern w:val="0"/>
          <w:sz w:val="32"/>
          <w:szCs w:val="32"/>
        </w:rPr>
        <w:t>1</w:t>
      </w:r>
      <w:r>
        <w:rPr>
          <w:rFonts w:ascii="Times New Roman" w:hAnsi="Times New Roman" w:eastAsia="仿宋_GB2312"/>
          <w:bCs/>
          <w:sz w:val="32"/>
          <w:szCs w:val="32"/>
        </w:rPr>
        <w:t xml:space="preserve"> 防治责任范围表（涉及县级行政区较多时）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Cs/>
          <w:kern w:val="0"/>
          <w:sz w:val="32"/>
          <w:szCs w:val="32"/>
        </w:rPr>
        <w:t>2</w:t>
      </w:r>
      <w:r>
        <w:rPr>
          <w:rFonts w:ascii="Times New Roman" w:hAnsi="Times New Roman" w:eastAsia="仿宋_GB2312"/>
          <w:bCs/>
          <w:sz w:val="32"/>
          <w:szCs w:val="32"/>
        </w:rPr>
        <w:t xml:space="preserve"> 防治标准指标计算表（分区段标准较多时）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Cs/>
          <w:kern w:val="0"/>
          <w:sz w:val="32"/>
          <w:szCs w:val="32"/>
        </w:rPr>
        <w:t>3</w:t>
      </w:r>
      <w:r>
        <w:rPr>
          <w:rFonts w:ascii="Times New Roman" w:hAnsi="Times New Roman" w:eastAsia="仿宋_GB2312"/>
          <w:bCs/>
          <w:sz w:val="32"/>
          <w:szCs w:val="32"/>
        </w:rPr>
        <w:t xml:space="preserve"> 单价分析表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Cs/>
          <w:sz w:val="32"/>
          <w:szCs w:val="32"/>
        </w:rPr>
        <w:t>附件：应包括项目立项的有关支撑性文件和其他有关文件。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Cs/>
          <w:sz w:val="32"/>
          <w:szCs w:val="32"/>
        </w:rPr>
        <w:t xml:space="preserve">附图： 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Cs/>
          <w:kern w:val="0"/>
          <w:sz w:val="32"/>
          <w:szCs w:val="32"/>
        </w:rPr>
        <w:t>1</w:t>
      </w:r>
      <w:r>
        <w:rPr>
          <w:rFonts w:ascii="Times New Roman" w:hAnsi="Times New Roman" w:eastAsia="仿宋_GB2312"/>
          <w:bCs/>
          <w:sz w:val="32"/>
          <w:szCs w:val="32"/>
        </w:rPr>
        <w:t xml:space="preserve"> 项目地理位置图应包含行政区划、主要城镇和交通路线；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Cs/>
          <w:kern w:val="0"/>
          <w:sz w:val="32"/>
          <w:szCs w:val="32"/>
        </w:rPr>
        <w:t>2</w:t>
      </w:r>
      <w:r>
        <w:rPr>
          <w:rFonts w:ascii="Times New Roman" w:hAnsi="Times New Roman" w:eastAsia="仿宋_GB2312"/>
          <w:bCs/>
          <w:sz w:val="32"/>
          <w:szCs w:val="32"/>
        </w:rPr>
        <w:t xml:space="preserve"> 项目区水系图应包含主要河流、排灌干渠、水库、湖泊等；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Cs/>
          <w:kern w:val="0"/>
          <w:sz w:val="32"/>
          <w:szCs w:val="32"/>
        </w:rPr>
        <w:t>3</w:t>
      </w:r>
      <w:r>
        <w:rPr>
          <w:rFonts w:ascii="Times New Roman" w:hAnsi="Times New Roman" w:eastAsia="仿宋_GB2312"/>
          <w:bCs/>
          <w:sz w:val="32"/>
          <w:szCs w:val="32"/>
        </w:rPr>
        <w:t xml:space="preserve"> 项目区土壤侵蚀强度分布图；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Cs/>
          <w:kern w:val="0"/>
          <w:sz w:val="32"/>
          <w:szCs w:val="32"/>
        </w:rPr>
        <w:t>4</w:t>
      </w:r>
      <w:r>
        <w:rPr>
          <w:rFonts w:ascii="Times New Roman" w:hAnsi="Times New Roman" w:eastAsia="仿宋_GB2312"/>
          <w:bCs/>
          <w:sz w:val="32"/>
          <w:szCs w:val="32"/>
        </w:rPr>
        <w:t xml:space="preserve"> 项目总体布置图应反映项目组成的各项内容，公路、铁路项目尚应有平、纵断面缩图；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Cs/>
          <w:kern w:val="0"/>
          <w:sz w:val="32"/>
          <w:szCs w:val="32"/>
        </w:rPr>
        <w:t>5</w:t>
      </w:r>
      <w:r>
        <w:rPr>
          <w:rFonts w:ascii="Times New Roman" w:hAnsi="Times New Roman" w:eastAsia="仿宋_GB2312"/>
          <w:bCs/>
          <w:sz w:val="32"/>
          <w:szCs w:val="32"/>
        </w:rPr>
        <w:t xml:space="preserve"> 分区防治措施总体布局图（含监测点位）；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Cs/>
          <w:kern w:val="0"/>
          <w:sz w:val="32"/>
          <w:szCs w:val="32"/>
        </w:rPr>
        <w:t xml:space="preserve">6 </w:t>
      </w:r>
      <w:r>
        <w:rPr>
          <w:rFonts w:ascii="Times New Roman" w:hAnsi="Times New Roman" w:eastAsia="仿宋_GB2312"/>
          <w:bCs/>
          <w:sz w:val="32"/>
          <w:szCs w:val="32"/>
        </w:rPr>
        <w:t>水土保持典型措施布设图。</w:t>
      </w:r>
    </w:p>
    <w:p>
      <w:pPr>
        <w:spacing w:line="600" w:lineRule="exact"/>
        <w:jc w:val="center"/>
        <w:rPr>
          <w:rFonts w:ascii="Times New Roman" w:hAnsi="Times New Roman" w:eastAsia="黑体"/>
          <w:sz w:val="32"/>
          <w:szCs w:val="32"/>
        </w:rPr>
      </w:pPr>
    </w:p>
    <w:p>
      <w:pPr>
        <w:spacing w:line="600" w:lineRule="exact"/>
        <w:jc w:val="center"/>
        <w:rPr>
          <w:rFonts w:ascii="Times New Roman" w:hAnsi="Times New Roman" w:eastAsia="方正小标宋_GBK"/>
          <w:b/>
          <w:sz w:val="36"/>
          <w:szCs w:val="32"/>
        </w:rPr>
      </w:pPr>
      <w:r>
        <w:rPr>
          <w:rFonts w:ascii="Times New Roman" w:hAnsi="Times New Roman" w:eastAsia="方正小标宋_GBK"/>
          <w:b/>
          <w:sz w:val="36"/>
          <w:szCs w:val="32"/>
        </w:rPr>
        <w:t>B.2 水土保持措施变更报告书内容及章节编排</w:t>
      </w:r>
    </w:p>
    <w:p>
      <w:pPr>
        <w:spacing w:line="600" w:lineRule="exact"/>
        <w:jc w:val="center"/>
        <w:rPr>
          <w:rFonts w:ascii="Times New Roman" w:hAnsi="Times New Roman" w:eastAsia="方正小标宋_GBK"/>
          <w:b/>
          <w:sz w:val="36"/>
          <w:szCs w:val="32"/>
        </w:rPr>
      </w:pPr>
    </w:p>
    <w:p>
      <w:pPr>
        <w:adjustRightInd w:val="0"/>
        <w:snapToGrid w:val="0"/>
        <w:spacing w:line="600" w:lineRule="exact"/>
        <w:ind w:firstLine="643" w:firstLineChars="200"/>
        <w:rPr>
          <w:rFonts w:ascii="Times New Roman" w:hAnsi="Times New Roman" w:eastAsia="黑体"/>
          <w:b/>
          <w:bCs/>
          <w:sz w:val="32"/>
          <w:szCs w:val="32"/>
        </w:rPr>
      </w:pPr>
      <w:r>
        <w:rPr>
          <w:rFonts w:ascii="Times New Roman" w:hAnsi="Times New Roman" w:eastAsia="黑体"/>
          <w:b/>
          <w:bCs/>
          <w:kern w:val="0"/>
          <w:sz w:val="32"/>
          <w:szCs w:val="32"/>
        </w:rPr>
        <w:t xml:space="preserve">1 </w:t>
      </w:r>
      <w:r>
        <w:rPr>
          <w:rFonts w:ascii="Times New Roman" w:hAnsi="Times New Roman" w:eastAsia="黑体"/>
          <w:b/>
          <w:bCs/>
          <w:sz w:val="32"/>
          <w:szCs w:val="32"/>
        </w:rPr>
        <w:t xml:space="preserve"> 项目简况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Cs/>
          <w:sz w:val="32"/>
          <w:szCs w:val="32"/>
        </w:rPr>
        <w:t>简述项目位置、项目组成、项目实施情况、水土保持方案批复情况。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Times New Roman" w:hAnsi="Times New Roman" w:eastAsia="黑体"/>
          <w:b/>
          <w:bCs/>
          <w:sz w:val="32"/>
          <w:szCs w:val="32"/>
        </w:rPr>
      </w:pPr>
      <w:r>
        <w:rPr>
          <w:rFonts w:ascii="Times New Roman" w:hAnsi="Times New Roman" w:eastAsia="黑体"/>
          <w:b/>
          <w:bCs/>
          <w:kern w:val="0"/>
          <w:sz w:val="32"/>
          <w:szCs w:val="32"/>
        </w:rPr>
        <w:t>2</w:t>
      </w:r>
      <w:r>
        <w:rPr>
          <w:rFonts w:ascii="Times New Roman" w:hAnsi="Times New Roman" w:eastAsia="黑体"/>
          <w:b/>
          <w:bCs/>
          <w:sz w:val="32"/>
          <w:szCs w:val="32"/>
        </w:rPr>
        <w:t xml:space="preserve">  水土保持措施变更情况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Cs/>
          <w:kern w:val="0"/>
          <w:sz w:val="32"/>
          <w:szCs w:val="32"/>
        </w:rPr>
        <w:t>2.1</w:t>
      </w:r>
      <w:r>
        <w:rPr>
          <w:rFonts w:ascii="Times New Roman" w:hAnsi="Times New Roman" w:eastAsia="仿宋_GB2312"/>
          <w:bCs/>
          <w:sz w:val="32"/>
          <w:szCs w:val="32"/>
        </w:rPr>
        <w:t xml:space="preserve"> 批复方案的水土保持措施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Cs/>
          <w:sz w:val="32"/>
          <w:szCs w:val="32"/>
        </w:rPr>
        <w:t>简述批复的水土保持措施分区总体布设情况。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Cs/>
          <w:kern w:val="0"/>
          <w:sz w:val="32"/>
          <w:szCs w:val="32"/>
        </w:rPr>
        <w:t xml:space="preserve">2.2 </w:t>
      </w:r>
      <w:r>
        <w:rPr>
          <w:rFonts w:ascii="Times New Roman" w:hAnsi="Times New Roman" w:eastAsia="仿宋_GB2312"/>
          <w:bCs/>
          <w:sz w:val="32"/>
          <w:szCs w:val="32"/>
        </w:rPr>
        <w:t>水土保持措施变更内容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Cs/>
          <w:sz w:val="32"/>
          <w:szCs w:val="32"/>
        </w:rPr>
        <w:t>说明措施变更缘由及变更内容，变更后水土保持措施布设按本标准4.6节的要求编制。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Times New Roman" w:hAnsi="Times New Roman" w:eastAsia="黑体"/>
          <w:b/>
          <w:bCs/>
          <w:sz w:val="32"/>
          <w:szCs w:val="32"/>
        </w:rPr>
      </w:pPr>
      <w:r>
        <w:rPr>
          <w:rFonts w:ascii="Times New Roman" w:hAnsi="Times New Roman" w:eastAsia="黑体"/>
          <w:b/>
          <w:bCs/>
          <w:kern w:val="0"/>
          <w:sz w:val="32"/>
          <w:szCs w:val="32"/>
        </w:rPr>
        <w:t xml:space="preserve">3  </w:t>
      </w:r>
      <w:r>
        <w:rPr>
          <w:rFonts w:ascii="Times New Roman" w:hAnsi="Times New Roman" w:eastAsia="黑体"/>
          <w:b/>
          <w:bCs/>
          <w:sz w:val="32"/>
          <w:szCs w:val="32"/>
        </w:rPr>
        <w:t>变更投资估算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bCs/>
          <w:sz w:val="32"/>
          <w:szCs w:val="32"/>
        </w:rPr>
        <w:t>估算变更后的水土保持投资，并明确较原方案投资的增减情况。</w:t>
      </w:r>
    </w:p>
    <w:p>
      <w:pPr>
        <w:adjustRightInd w:val="0"/>
        <w:snapToGrid w:val="0"/>
        <w:spacing w:line="600" w:lineRule="exact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br w:type="page"/>
      </w:r>
    </w:p>
    <w:p>
      <w:pPr>
        <w:spacing w:line="600" w:lineRule="exact"/>
        <w:jc w:val="center"/>
        <w:rPr>
          <w:rFonts w:ascii="Times New Roman" w:hAnsi="Times New Roman" w:eastAsia="方正小标宋_GBK"/>
          <w:b/>
          <w:sz w:val="36"/>
          <w:szCs w:val="32"/>
        </w:rPr>
      </w:pPr>
      <w:r>
        <w:rPr>
          <w:rFonts w:ascii="Times New Roman" w:hAnsi="Times New Roman" w:eastAsia="方正小标宋_GBK"/>
          <w:b/>
          <w:sz w:val="36"/>
          <w:szCs w:val="32"/>
        </w:rPr>
        <w:t>B.3 取土场、弃土场变更</w:t>
      </w:r>
    </w:p>
    <w:p>
      <w:pPr>
        <w:spacing w:line="600" w:lineRule="exact"/>
        <w:jc w:val="center"/>
        <w:rPr>
          <w:rFonts w:ascii="Times New Roman" w:hAnsi="Times New Roman" w:eastAsia="方正小标宋_GBK"/>
          <w:b/>
          <w:sz w:val="36"/>
          <w:szCs w:val="32"/>
        </w:rPr>
      </w:pPr>
      <w:r>
        <w:rPr>
          <w:rFonts w:ascii="Times New Roman" w:hAnsi="Times New Roman" w:eastAsia="方正小标宋_GBK"/>
          <w:b/>
          <w:sz w:val="36"/>
          <w:szCs w:val="32"/>
        </w:rPr>
        <w:t>水土保持方案补充报告书内容及章节编排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/>
          <w:bCs/>
          <w:kern w:val="0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3" w:firstLineChars="200"/>
        <w:rPr>
          <w:rFonts w:ascii="Times New Roman" w:hAnsi="Times New Roman" w:eastAsia="黑体"/>
          <w:b/>
          <w:bCs/>
          <w:sz w:val="32"/>
          <w:szCs w:val="32"/>
        </w:rPr>
      </w:pPr>
      <w:r>
        <w:rPr>
          <w:rFonts w:ascii="Times New Roman" w:hAnsi="Times New Roman" w:eastAsia="黑体"/>
          <w:b/>
          <w:bCs/>
          <w:sz w:val="32"/>
          <w:szCs w:val="32"/>
        </w:rPr>
        <w:t>1  项目简况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Cs/>
          <w:sz w:val="32"/>
          <w:szCs w:val="32"/>
        </w:rPr>
        <w:t>简述项目位置、项目组成、项目实施情况、水土保持方案批复情况。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Times New Roman" w:hAnsi="Times New Roman" w:eastAsia="黑体"/>
          <w:b/>
          <w:bCs/>
          <w:sz w:val="32"/>
          <w:szCs w:val="32"/>
        </w:rPr>
      </w:pPr>
      <w:r>
        <w:rPr>
          <w:rFonts w:ascii="Times New Roman" w:hAnsi="Times New Roman" w:eastAsia="黑体"/>
          <w:b/>
          <w:bCs/>
          <w:sz w:val="32"/>
          <w:szCs w:val="32"/>
        </w:rPr>
        <w:t>2  取土（石、砂）场、弃土（石、渣、灰、矸石、尾矿）场变更情况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Cs/>
          <w:kern w:val="0"/>
          <w:sz w:val="32"/>
          <w:szCs w:val="32"/>
        </w:rPr>
        <w:t xml:space="preserve">2.1 </w:t>
      </w:r>
      <w:r>
        <w:rPr>
          <w:rFonts w:ascii="Times New Roman" w:hAnsi="Times New Roman" w:eastAsia="仿宋_GB2312"/>
          <w:bCs/>
          <w:sz w:val="32"/>
          <w:szCs w:val="32"/>
        </w:rPr>
        <w:t>批复方案的取土（石、砂）场、弃</w:t>
      </w:r>
      <w:r>
        <w:rPr>
          <w:rFonts w:ascii="Times New Roman" w:hAnsi="Times New Roman" w:eastAsia="仿宋_GB2312"/>
          <w:sz w:val="32"/>
          <w:szCs w:val="32"/>
        </w:rPr>
        <w:t>土（石、渣、灰、矸石、尾矿）场</w:t>
      </w:r>
      <w:r>
        <w:rPr>
          <w:rFonts w:ascii="Times New Roman" w:hAnsi="Times New Roman" w:eastAsia="仿宋_GB2312"/>
          <w:bCs/>
          <w:sz w:val="32"/>
          <w:szCs w:val="32"/>
        </w:rPr>
        <w:t>设置情况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Cs/>
          <w:sz w:val="32"/>
          <w:szCs w:val="32"/>
        </w:rPr>
        <w:t>说明批复的取土（石、砂）场、弃</w:t>
      </w:r>
      <w:r>
        <w:rPr>
          <w:rFonts w:ascii="Times New Roman" w:hAnsi="Times New Roman" w:eastAsia="仿宋_GB2312"/>
          <w:sz w:val="32"/>
          <w:szCs w:val="32"/>
        </w:rPr>
        <w:t>土（石、渣、灰、矸石、尾矿）场</w:t>
      </w:r>
      <w:r>
        <w:rPr>
          <w:rFonts w:ascii="Times New Roman" w:hAnsi="Times New Roman" w:eastAsia="仿宋_GB2312"/>
          <w:bCs/>
          <w:sz w:val="32"/>
          <w:szCs w:val="32"/>
        </w:rPr>
        <w:t>位置和数量。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Cs/>
          <w:kern w:val="0"/>
          <w:sz w:val="32"/>
          <w:szCs w:val="32"/>
        </w:rPr>
        <w:t xml:space="preserve">2.2 </w:t>
      </w:r>
      <w:r>
        <w:rPr>
          <w:rFonts w:ascii="Times New Roman" w:hAnsi="Times New Roman" w:eastAsia="仿宋_GB2312"/>
          <w:bCs/>
          <w:sz w:val="32"/>
          <w:szCs w:val="32"/>
        </w:rPr>
        <w:t>取土（石、砂）场、弃</w:t>
      </w:r>
      <w:r>
        <w:rPr>
          <w:rFonts w:ascii="Times New Roman" w:hAnsi="Times New Roman" w:eastAsia="仿宋_GB2312"/>
          <w:sz w:val="32"/>
          <w:szCs w:val="32"/>
        </w:rPr>
        <w:t>土（石、渣、灰、矸石、尾矿）场</w:t>
      </w:r>
      <w:r>
        <w:rPr>
          <w:rFonts w:ascii="Times New Roman" w:hAnsi="Times New Roman" w:eastAsia="仿宋_GB2312"/>
          <w:bCs/>
          <w:sz w:val="32"/>
          <w:szCs w:val="32"/>
        </w:rPr>
        <w:t>变更情况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Cs/>
          <w:sz w:val="32"/>
          <w:szCs w:val="32"/>
        </w:rPr>
        <w:t>说明取土（石、砂）场、弃</w:t>
      </w:r>
      <w:r>
        <w:rPr>
          <w:rFonts w:ascii="Times New Roman" w:hAnsi="Times New Roman" w:eastAsia="仿宋_GB2312"/>
          <w:sz w:val="32"/>
          <w:szCs w:val="32"/>
        </w:rPr>
        <w:t>土（石、渣、灰、矸石、尾矿）场</w:t>
      </w:r>
      <w:r>
        <w:rPr>
          <w:rFonts w:ascii="Times New Roman" w:hAnsi="Times New Roman" w:eastAsia="仿宋_GB2312"/>
          <w:bCs/>
          <w:sz w:val="32"/>
          <w:szCs w:val="32"/>
        </w:rPr>
        <w:t>位置变更缘由及变更后的位置和数量。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Times New Roman" w:hAnsi="Times New Roman" w:eastAsia="黑体"/>
          <w:b/>
          <w:bCs/>
          <w:sz w:val="32"/>
          <w:szCs w:val="32"/>
        </w:rPr>
      </w:pPr>
      <w:r>
        <w:rPr>
          <w:rFonts w:ascii="Times New Roman" w:hAnsi="Times New Roman" w:eastAsia="黑体"/>
          <w:b/>
          <w:bCs/>
          <w:sz w:val="32"/>
          <w:szCs w:val="32"/>
        </w:rPr>
        <w:t>3  取土（石、砂）场、弃土（石、渣、灰、矸石、尾矿）场评价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Cs/>
          <w:sz w:val="32"/>
          <w:szCs w:val="32"/>
        </w:rPr>
        <w:t>根据本标准第4.3.7第和第4.3.8条的规定，对变更后取土（石、砂）场、弃</w:t>
      </w:r>
      <w:r>
        <w:rPr>
          <w:rFonts w:ascii="Times New Roman" w:hAnsi="Times New Roman" w:eastAsia="仿宋_GB2312"/>
          <w:sz w:val="32"/>
          <w:szCs w:val="32"/>
        </w:rPr>
        <w:t>土（石、渣、灰、矸石、尾矿）场</w:t>
      </w:r>
      <w:r>
        <w:rPr>
          <w:rFonts w:ascii="Times New Roman" w:hAnsi="Times New Roman" w:eastAsia="仿宋_GB2312"/>
          <w:bCs/>
          <w:sz w:val="32"/>
          <w:szCs w:val="32"/>
        </w:rPr>
        <w:t>设置进行评价，明确评价结论。对主体设计提出的防治措施进行分析评价，明确评价结论。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Times New Roman" w:hAnsi="Times New Roman" w:eastAsia="黑体"/>
          <w:b/>
          <w:bCs/>
          <w:sz w:val="32"/>
          <w:szCs w:val="32"/>
        </w:rPr>
      </w:pPr>
      <w:r>
        <w:rPr>
          <w:rFonts w:ascii="Times New Roman" w:hAnsi="Times New Roman" w:eastAsia="黑体"/>
          <w:b/>
          <w:bCs/>
          <w:sz w:val="32"/>
          <w:szCs w:val="32"/>
        </w:rPr>
        <w:t>4  水土保持措施布设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Cs/>
          <w:sz w:val="32"/>
          <w:szCs w:val="32"/>
        </w:rPr>
        <w:t>根据本标准第</w:t>
      </w:r>
      <w:r>
        <w:rPr>
          <w:rFonts w:ascii="Times New Roman" w:hAnsi="Times New Roman" w:eastAsia="仿宋_GB2312"/>
          <w:sz w:val="32"/>
          <w:szCs w:val="32"/>
        </w:rPr>
        <w:t>4.6节</w:t>
      </w:r>
      <w:r>
        <w:rPr>
          <w:rFonts w:ascii="Times New Roman" w:hAnsi="Times New Roman" w:eastAsia="仿宋_GB2312"/>
          <w:bCs/>
          <w:sz w:val="32"/>
          <w:szCs w:val="32"/>
        </w:rPr>
        <w:t>的规定，对变更后的取土（石、砂）场、弃</w:t>
      </w:r>
      <w:r>
        <w:rPr>
          <w:rFonts w:ascii="Times New Roman" w:hAnsi="Times New Roman" w:eastAsia="仿宋_GB2312"/>
          <w:sz w:val="32"/>
          <w:szCs w:val="32"/>
        </w:rPr>
        <w:t>土（石、渣、灰、矸石、尾矿）场水土保持措施进行布设。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Times New Roman" w:hAnsi="Times New Roman" w:eastAsia="黑体"/>
          <w:b/>
          <w:bCs/>
          <w:sz w:val="32"/>
          <w:szCs w:val="32"/>
        </w:rPr>
      </w:pPr>
      <w:r>
        <w:rPr>
          <w:rFonts w:ascii="Times New Roman" w:hAnsi="Times New Roman" w:eastAsia="黑体"/>
          <w:b/>
          <w:bCs/>
          <w:sz w:val="32"/>
          <w:szCs w:val="32"/>
        </w:rPr>
        <w:t>5  变更投资估算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Cs/>
          <w:sz w:val="32"/>
          <w:szCs w:val="32"/>
        </w:rPr>
        <w:t>估算取土（石、砂）场、弃</w:t>
      </w:r>
      <w:r>
        <w:rPr>
          <w:rFonts w:ascii="Times New Roman" w:hAnsi="Times New Roman" w:eastAsia="仿宋_GB2312"/>
          <w:sz w:val="32"/>
          <w:szCs w:val="32"/>
        </w:rPr>
        <w:t>土（石、渣、灰、矸石、尾矿）场</w:t>
      </w:r>
      <w:r>
        <w:rPr>
          <w:rFonts w:ascii="Times New Roman" w:hAnsi="Times New Roman" w:eastAsia="仿宋_GB2312"/>
          <w:bCs/>
          <w:sz w:val="32"/>
          <w:szCs w:val="32"/>
        </w:rPr>
        <w:t>变更后的水土保持投资，并明确较原方案投资的增减情况。</w:t>
      </w:r>
    </w:p>
    <w:p>
      <w:pPr>
        <w:adjustRightInd w:val="0"/>
        <w:snapToGrid w:val="0"/>
        <w:spacing w:line="600" w:lineRule="exact"/>
        <w:rPr>
          <w:rFonts w:hint="eastAsia" w:ascii="Times New Roman" w:hAnsi="Times New Roman" w:eastAsia="黑体"/>
          <w:bCs/>
          <w:szCs w:val="30"/>
          <w:lang w:eastAsia="zh-CN"/>
        </w:rPr>
      </w:pPr>
      <w:r>
        <w:rPr>
          <w:rFonts w:ascii="Times New Roman" w:hAnsi="Times New Roman" w:eastAsia="仿宋_GB2312"/>
          <w:bCs/>
          <w:sz w:val="32"/>
          <w:szCs w:val="32"/>
        </w:rPr>
        <w:br w:type="page"/>
      </w:r>
      <w:r>
        <w:rPr>
          <w:rFonts w:ascii="Times New Roman" w:hAnsi="Times New Roman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2</w:t>
      </w:r>
    </w:p>
    <w:p>
      <w:pPr>
        <w:pStyle w:val="3"/>
        <w:snapToGrid w:val="0"/>
        <w:spacing w:line="600" w:lineRule="exact"/>
        <w:ind w:firstLine="0" w:firstLineChars="0"/>
        <w:jc w:val="center"/>
        <w:outlineLvl w:val="0"/>
        <w:rPr>
          <w:rFonts w:ascii="Times New Roman" w:hAnsi="Times New Roman" w:eastAsia="方正小标宋_GBK"/>
          <w:b/>
          <w:bCs/>
          <w:sz w:val="44"/>
          <w:szCs w:val="30"/>
        </w:rPr>
      </w:pPr>
      <w:r>
        <w:rPr>
          <w:rFonts w:ascii="Times New Roman" w:hAnsi="Times New Roman" w:eastAsia="方正小标宋_GBK"/>
          <w:b/>
          <w:bCs/>
          <w:sz w:val="44"/>
          <w:szCs w:val="30"/>
        </w:rPr>
        <w:t>XXX项目水土保持方案报告表</w:t>
      </w:r>
    </w:p>
    <w:p>
      <w:pPr>
        <w:pStyle w:val="3"/>
        <w:snapToGrid w:val="0"/>
        <w:spacing w:line="600" w:lineRule="exact"/>
        <w:ind w:firstLine="0" w:firstLineChars="0"/>
        <w:jc w:val="center"/>
        <w:outlineLvl w:val="0"/>
        <w:rPr>
          <w:rFonts w:ascii="Times New Roman" w:hAnsi="Times New Roman" w:eastAsia="方正小标宋_GBK"/>
          <w:b/>
          <w:bCs/>
          <w:sz w:val="44"/>
          <w:szCs w:val="30"/>
        </w:rPr>
      </w:pPr>
      <w:r>
        <w:rPr>
          <w:rFonts w:ascii="Times New Roman" w:hAnsi="Times New Roman" w:eastAsia="方正小标宋_GBK"/>
          <w:b/>
          <w:bCs/>
          <w:sz w:val="44"/>
          <w:szCs w:val="30"/>
        </w:rPr>
        <w:t>（</w:t>
      </w:r>
      <w:r>
        <w:rPr>
          <w:rFonts w:ascii="Times New Roman" w:hAnsi="Times New Roman" w:eastAsia="方正小标宋_GBK"/>
          <w:b/>
          <w:sz w:val="44"/>
          <w:szCs w:val="30"/>
        </w:rPr>
        <w:t>示范文本</w:t>
      </w:r>
      <w:r>
        <w:rPr>
          <w:rFonts w:ascii="Times New Roman" w:hAnsi="Times New Roman" w:eastAsia="方正小标宋_GBK"/>
          <w:b/>
          <w:bCs/>
          <w:sz w:val="44"/>
          <w:szCs w:val="30"/>
        </w:rPr>
        <w:t>）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62"/>
        <w:gridCol w:w="919"/>
        <w:gridCol w:w="373"/>
        <w:gridCol w:w="1228"/>
        <w:gridCol w:w="203"/>
        <w:gridCol w:w="49"/>
        <w:gridCol w:w="581"/>
        <w:gridCol w:w="488"/>
        <w:gridCol w:w="69"/>
        <w:gridCol w:w="185"/>
        <w:gridCol w:w="124"/>
        <w:gridCol w:w="866"/>
        <w:gridCol w:w="394"/>
        <w:gridCol w:w="221"/>
        <w:gridCol w:w="361"/>
        <w:gridCol w:w="44"/>
        <w:gridCol w:w="195"/>
        <w:gridCol w:w="49"/>
        <w:gridCol w:w="13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4" w:hRule="atLeast"/>
          <w:jc w:val="center"/>
        </w:trPr>
        <w:tc>
          <w:tcPr>
            <w:tcW w:w="1362" w:type="dxa"/>
            <w:vMerge w:val="restart"/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项目概况</w:t>
            </w: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位置</w:t>
            </w:r>
          </w:p>
        </w:tc>
        <w:tc>
          <w:tcPr>
            <w:tcW w:w="5219" w:type="dxa"/>
            <w:gridSpan w:val="15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62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建设内容</w:t>
            </w:r>
          </w:p>
        </w:tc>
        <w:tc>
          <w:tcPr>
            <w:tcW w:w="5219" w:type="dxa"/>
            <w:gridSpan w:val="15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62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建设性质</w:t>
            </w:r>
          </w:p>
        </w:tc>
        <w:tc>
          <w:tcPr>
            <w:tcW w:w="1390" w:type="dxa"/>
            <w:gridSpan w:val="5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790" w:type="dxa"/>
            <w:gridSpan w:val="5"/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总投资（万元）</w:t>
            </w:r>
          </w:p>
        </w:tc>
        <w:tc>
          <w:tcPr>
            <w:tcW w:w="2039" w:type="dxa"/>
            <w:gridSpan w:val="5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62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520" w:type="dxa"/>
            <w:gridSpan w:val="3"/>
            <w:vMerge w:val="restart"/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土建投资（万元）</w:t>
            </w:r>
          </w:p>
        </w:tc>
        <w:tc>
          <w:tcPr>
            <w:tcW w:w="1390" w:type="dxa"/>
            <w:gridSpan w:val="5"/>
            <w:vMerge w:val="restar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790" w:type="dxa"/>
            <w:gridSpan w:val="5"/>
            <w:vMerge w:val="restart"/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占地面积（hm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vertAlign w:val="superscript"/>
                <w:lang w:bidi="ar"/>
              </w:rPr>
              <w:t>2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)</w:t>
            </w:r>
          </w:p>
        </w:tc>
        <w:tc>
          <w:tcPr>
            <w:tcW w:w="2039" w:type="dxa"/>
            <w:gridSpan w:val="5"/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永久：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62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520" w:type="dxa"/>
            <w:gridSpan w:val="3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390" w:type="dxa"/>
            <w:gridSpan w:val="5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790" w:type="dxa"/>
            <w:gridSpan w:val="5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039" w:type="dxa"/>
            <w:gridSpan w:val="5"/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临时：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62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动工时间</w:t>
            </w:r>
          </w:p>
        </w:tc>
        <w:tc>
          <w:tcPr>
            <w:tcW w:w="1390" w:type="dxa"/>
            <w:gridSpan w:val="5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790" w:type="dxa"/>
            <w:gridSpan w:val="5"/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完工时间</w:t>
            </w:r>
          </w:p>
        </w:tc>
        <w:tc>
          <w:tcPr>
            <w:tcW w:w="2039" w:type="dxa"/>
            <w:gridSpan w:val="5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62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520" w:type="dxa"/>
            <w:gridSpan w:val="3"/>
            <w:vMerge w:val="restart"/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土石方（m³）</w:t>
            </w:r>
          </w:p>
        </w:tc>
        <w:tc>
          <w:tcPr>
            <w:tcW w:w="1390" w:type="dxa"/>
            <w:gridSpan w:val="5"/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挖方</w:t>
            </w:r>
          </w:p>
        </w:tc>
        <w:tc>
          <w:tcPr>
            <w:tcW w:w="1175" w:type="dxa"/>
            <w:gridSpan w:val="3"/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填方</w:t>
            </w:r>
          </w:p>
        </w:tc>
        <w:tc>
          <w:tcPr>
            <w:tcW w:w="1215" w:type="dxa"/>
            <w:gridSpan w:val="5"/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借方</w:t>
            </w: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余（弃）方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62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520" w:type="dxa"/>
            <w:gridSpan w:val="3"/>
            <w:vMerge w:val="continue"/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90" w:type="dxa"/>
            <w:gridSpan w:val="5"/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75" w:type="dxa"/>
            <w:gridSpan w:val="3"/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15" w:type="dxa"/>
            <w:gridSpan w:val="5"/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62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取土（石、砂）场</w:t>
            </w:r>
          </w:p>
        </w:tc>
        <w:tc>
          <w:tcPr>
            <w:tcW w:w="5219" w:type="dxa"/>
            <w:gridSpan w:val="15"/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（应填写位置、数量、取土量）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62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弃土（石、渣）场</w:t>
            </w:r>
          </w:p>
        </w:tc>
        <w:tc>
          <w:tcPr>
            <w:tcW w:w="5219" w:type="dxa"/>
            <w:gridSpan w:val="15"/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（应填写位置、数量、弃渣量）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62" w:type="dxa"/>
            <w:vMerge w:val="restart"/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项目概况</w:t>
            </w: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涉及重点防治区</w:t>
            </w:r>
          </w:p>
          <w:p>
            <w:pPr>
              <w:widowControl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情况</w:t>
            </w:r>
          </w:p>
        </w:tc>
        <w:tc>
          <w:tcPr>
            <w:tcW w:w="1575" w:type="dxa"/>
            <w:gridSpan w:val="6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010" w:type="dxa"/>
            <w:gridSpan w:val="6"/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地貌类型</w:t>
            </w:r>
          </w:p>
        </w:tc>
        <w:tc>
          <w:tcPr>
            <w:tcW w:w="1634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62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原地貌土壤侵蚀</w:t>
            </w:r>
          </w:p>
          <w:p>
            <w:pPr>
              <w:widowControl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模数[t/km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vertAlign w:val="superscript"/>
                <w:lang w:bidi="ar"/>
              </w:rPr>
              <w:t>2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·a]</w:t>
            </w:r>
          </w:p>
        </w:tc>
        <w:tc>
          <w:tcPr>
            <w:tcW w:w="1575" w:type="dxa"/>
            <w:gridSpan w:val="6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010" w:type="dxa"/>
            <w:gridSpan w:val="6"/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容许土壤流失量[t/km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vertAlign w:val="superscript"/>
                <w:lang w:bidi="ar"/>
              </w:rPr>
              <w:t>2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·a]</w:t>
            </w:r>
          </w:p>
        </w:tc>
        <w:tc>
          <w:tcPr>
            <w:tcW w:w="1634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23" w:hRule="atLeast"/>
          <w:jc w:val="center"/>
        </w:trPr>
        <w:tc>
          <w:tcPr>
            <w:tcW w:w="1362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项目选址（线）水土保持评价</w:t>
            </w:r>
          </w:p>
        </w:tc>
        <w:tc>
          <w:tcPr>
            <w:tcW w:w="7739" w:type="dxa"/>
            <w:gridSpan w:val="18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8" w:hRule="atLeast"/>
          <w:jc w:val="center"/>
        </w:trPr>
        <w:tc>
          <w:tcPr>
            <w:tcW w:w="1362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预测水土流失总量</w:t>
            </w:r>
          </w:p>
        </w:tc>
        <w:tc>
          <w:tcPr>
            <w:tcW w:w="7739" w:type="dxa"/>
            <w:gridSpan w:val="18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62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防治责任范围（hm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vertAlign w:val="superscript"/>
                <w:lang w:bidi="ar"/>
              </w:rPr>
              <w:t>2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）</w:t>
            </w:r>
          </w:p>
        </w:tc>
        <w:tc>
          <w:tcPr>
            <w:tcW w:w="7739" w:type="dxa"/>
            <w:gridSpan w:val="18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62" w:type="dxa"/>
            <w:vMerge w:val="restart"/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防治标准等级及目标</w:t>
            </w:r>
          </w:p>
        </w:tc>
        <w:tc>
          <w:tcPr>
            <w:tcW w:w="2723" w:type="dxa"/>
            <w:gridSpan w:val="4"/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防治标准等级</w:t>
            </w:r>
          </w:p>
        </w:tc>
        <w:tc>
          <w:tcPr>
            <w:tcW w:w="5016" w:type="dxa"/>
            <w:gridSpan w:val="1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62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723" w:type="dxa"/>
            <w:gridSpan w:val="4"/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水土流失总治理度（%）</w:t>
            </w:r>
          </w:p>
        </w:tc>
        <w:tc>
          <w:tcPr>
            <w:tcW w:w="1496" w:type="dxa"/>
            <w:gridSpan w:val="6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130" w:type="dxa"/>
            <w:gridSpan w:val="7"/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土壤流失控制比</w:t>
            </w:r>
          </w:p>
        </w:tc>
        <w:tc>
          <w:tcPr>
            <w:tcW w:w="139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62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723" w:type="dxa"/>
            <w:gridSpan w:val="4"/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渣土防护率（%）</w:t>
            </w:r>
          </w:p>
        </w:tc>
        <w:tc>
          <w:tcPr>
            <w:tcW w:w="1496" w:type="dxa"/>
            <w:gridSpan w:val="6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130" w:type="dxa"/>
            <w:gridSpan w:val="7"/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表土保护率（%）</w:t>
            </w:r>
          </w:p>
        </w:tc>
        <w:tc>
          <w:tcPr>
            <w:tcW w:w="139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62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723" w:type="dxa"/>
            <w:gridSpan w:val="4"/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林草植被恢复率（%）</w:t>
            </w:r>
          </w:p>
        </w:tc>
        <w:tc>
          <w:tcPr>
            <w:tcW w:w="1496" w:type="dxa"/>
            <w:gridSpan w:val="6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130" w:type="dxa"/>
            <w:gridSpan w:val="7"/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林草覆盖率（%）</w:t>
            </w:r>
          </w:p>
        </w:tc>
        <w:tc>
          <w:tcPr>
            <w:tcW w:w="139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62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水土保持</w:t>
            </w:r>
          </w:p>
          <w:p>
            <w:pPr>
              <w:widowControl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措施</w:t>
            </w:r>
          </w:p>
        </w:tc>
        <w:tc>
          <w:tcPr>
            <w:tcW w:w="7739" w:type="dxa"/>
            <w:gridSpan w:val="18"/>
            <w:noWrap w:val="0"/>
            <w:vAlign w:val="center"/>
          </w:tcPr>
          <w:p>
            <w:pPr>
              <w:spacing w:line="48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（应填写各项工程措施布设的位置、结构和断面形式、工程量，各项植物措施布设的位置、配置形式、面积和数量，各项临时措施布设的位置、形式和工程量）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62" w:type="dxa"/>
            <w:vMerge w:val="restart"/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水土保持</w:t>
            </w:r>
          </w:p>
          <w:p>
            <w:pPr>
              <w:widowControl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投资估算</w:t>
            </w:r>
          </w:p>
          <w:p>
            <w:pPr>
              <w:widowControl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（万元）</w:t>
            </w:r>
          </w:p>
        </w:tc>
        <w:tc>
          <w:tcPr>
            <w:tcW w:w="1292" w:type="dxa"/>
            <w:gridSpan w:val="2"/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工程措施</w:t>
            </w:r>
          </w:p>
        </w:tc>
        <w:tc>
          <w:tcPr>
            <w:tcW w:w="2549" w:type="dxa"/>
            <w:gridSpan w:val="5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220" w:type="dxa"/>
            <w:gridSpan w:val="7"/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植物措施</w:t>
            </w:r>
          </w:p>
        </w:tc>
        <w:tc>
          <w:tcPr>
            <w:tcW w:w="1678" w:type="dxa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62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92" w:type="dxa"/>
            <w:gridSpan w:val="2"/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临时措施</w:t>
            </w:r>
          </w:p>
        </w:tc>
        <w:tc>
          <w:tcPr>
            <w:tcW w:w="2549" w:type="dxa"/>
            <w:gridSpan w:val="5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220" w:type="dxa"/>
            <w:gridSpan w:val="7"/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水土保持补偿费</w:t>
            </w:r>
          </w:p>
        </w:tc>
        <w:tc>
          <w:tcPr>
            <w:tcW w:w="1678" w:type="dxa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62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92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独立费用</w:t>
            </w:r>
          </w:p>
        </w:tc>
        <w:tc>
          <w:tcPr>
            <w:tcW w:w="2549" w:type="dxa"/>
            <w:gridSpan w:val="5"/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建设管理费</w:t>
            </w:r>
          </w:p>
        </w:tc>
        <w:tc>
          <w:tcPr>
            <w:tcW w:w="3898" w:type="dxa"/>
            <w:gridSpan w:val="11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62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92" w:type="dxa"/>
            <w:gridSpan w:val="2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549" w:type="dxa"/>
            <w:gridSpan w:val="5"/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水土保持监理费</w:t>
            </w:r>
          </w:p>
        </w:tc>
        <w:tc>
          <w:tcPr>
            <w:tcW w:w="3898" w:type="dxa"/>
            <w:gridSpan w:val="11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62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92" w:type="dxa"/>
            <w:gridSpan w:val="2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549" w:type="dxa"/>
            <w:gridSpan w:val="5"/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设计费</w:t>
            </w:r>
          </w:p>
        </w:tc>
        <w:tc>
          <w:tcPr>
            <w:tcW w:w="3898" w:type="dxa"/>
            <w:gridSpan w:val="11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362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92" w:type="dxa"/>
            <w:gridSpan w:val="2"/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总投资</w:t>
            </w:r>
          </w:p>
        </w:tc>
        <w:tc>
          <w:tcPr>
            <w:tcW w:w="6447" w:type="dxa"/>
            <w:gridSpan w:val="16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2654" w:type="dxa"/>
            <w:gridSpan w:val="3"/>
            <w:vMerge w:val="restart"/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省级水土保持专家库专家信息</w:t>
            </w:r>
          </w:p>
        </w:tc>
        <w:tc>
          <w:tcPr>
            <w:tcW w:w="6447" w:type="dxa"/>
            <w:gridSpan w:val="16"/>
            <w:noWrap w:val="0"/>
            <w:vAlign w:val="center"/>
          </w:tcPr>
          <w:p>
            <w:pPr>
              <w:spacing w:line="48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姓名：              专业及职称：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  <w:jc w:val="center"/>
        </w:trPr>
        <w:tc>
          <w:tcPr>
            <w:tcW w:w="2654" w:type="dxa"/>
            <w:gridSpan w:val="3"/>
            <w:vMerge w:val="continue"/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6447" w:type="dxa"/>
            <w:gridSpan w:val="16"/>
            <w:noWrap w:val="0"/>
            <w:vAlign w:val="center"/>
          </w:tcPr>
          <w:p>
            <w:pPr>
              <w:spacing w:line="48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单位名称：             电话：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  <w:jc w:val="center"/>
        </w:trPr>
        <w:tc>
          <w:tcPr>
            <w:tcW w:w="2654" w:type="dxa"/>
            <w:gridSpan w:val="3"/>
            <w:vMerge w:val="continue"/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6447" w:type="dxa"/>
            <w:gridSpan w:val="16"/>
            <w:noWrap w:val="0"/>
            <w:vAlign w:val="center"/>
          </w:tcPr>
          <w:p>
            <w:pPr>
              <w:spacing w:line="48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证件类型和号码：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2654" w:type="dxa"/>
            <w:gridSpan w:val="3"/>
            <w:vMerge w:val="continue"/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6447" w:type="dxa"/>
            <w:gridSpan w:val="16"/>
            <w:noWrap w:val="0"/>
            <w:vAlign w:val="center"/>
          </w:tcPr>
          <w:p>
            <w:pPr>
              <w:spacing w:line="48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加入专家库时间和文号：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1362" w:type="dxa"/>
            <w:vMerge w:val="restart"/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专</w:t>
            </w:r>
          </w:p>
          <w:p>
            <w:pPr>
              <w:widowControl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家</w:t>
            </w:r>
          </w:p>
          <w:p>
            <w:pPr>
              <w:widowControl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审</w:t>
            </w:r>
          </w:p>
          <w:p>
            <w:pPr>
              <w:widowControl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核</w:t>
            </w:r>
          </w:p>
          <w:p>
            <w:pPr>
              <w:widowControl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意</w:t>
            </w:r>
          </w:p>
          <w:p>
            <w:pPr>
              <w:widowControl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见</w:t>
            </w:r>
          </w:p>
        </w:tc>
        <w:tc>
          <w:tcPr>
            <w:tcW w:w="2772" w:type="dxa"/>
            <w:gridSpan w:val="5"/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主体工程水土保持评价</w:t>
            </w:r>
          </w:p>
        </w:tc>
        <w:tc>
          <w:tcPr>
            <w:tcW w:w="4967" w:type="dxa"/>
            <w:gridSpan w:val="13"/>
            <w:noWrap w:val="0"/>
            <w:vAlign w:val="center"/>
          </w:tcPr>
          <w:p>
            <w:pPr>
              <w:spacing w:line="48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1362" w:type="dxa"/>
            <w:vMerge w:val="continue"/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772" w:type="dxa"/>
            <w:gridSpan w:val="5"/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防治责任范围和防治分区</w:t>
            </w:r>
          </w:p>
        </w:tc>
        <w:tc>
          <w:tcPr>
            <w:tcW w:w="4967" w:type="dxa"/>
            <w:gridSpan w:val="13"/>
            <w:noWrap w:val="0"/>
            <w:vAlign w:val="center"/>
          </w:tcPr>
          <w:p>
            <w:pPr>
              <w:spacing w:line="48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2" w:hRule="atLeast"/>
          <w:jc w:val="center"/>
        </w:trPr>
        <w:tc>
          <w:tcPr>
            <w:tcW w:w="1362" w:type="dxa"/>
            <w:vMerge w:val="continue"/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772" w:type="dxa"/>
            <w:gridSpan w:val="5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水土流失预测内容、方法和结论</w:t>
            </w:r>
          </w:p>
        </w:tc>
        <w:tc>
          <w:tcPr>
            <w:tcW w:w="4967" w:type="dxa"/>
            <w:gridSpan w:val="13"/>
            <w:noWrap w:val="0"/>
            <w:vAlign w:val="center"/>
          </w:tcPr>
          <w:p>
            <w:pPr>
              <w:spacing w:line="48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1362" w:type="dxa"/>
            <w:vMerge w:val="continue"/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772" w:type="dxa"/>
            <w:gridSpan w:val="5"/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防治标准及防治目标</w:t>
            </w:r>
          </w:p>
        </w:tc>
        <w:tc>
          <w:tcPr>
            <w:tcW w:w="4967" w:type="dxa"/>
            <w:gridSpan w:val="13"/>
            <w:noWrap w:val="0"/>
            <w:vAlign w:val="center"/>
          </w:tcPr>
          <w:p>
            <w:pPr>
              <w:spacing w:line="48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9" w:hRule="atLeast"/>
          <w:jc w:val="center"/>
        </w:trPr>
        <w:tc>
          <w:tcPr>
            <w:tcW w:w="1362" w:type="dxa"/>
            <w:vMerge w:val="continue"/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772" w:type="dxa"/>
            <w:gridSpan w:val="5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措施体系及分区防治措施布设</w:t>
            </w:r>
          </w:p>
        </w:tc>
        <w:tc>
          <w:tcPr>
            <w:tcW w:w="4967" w:type="dxa"/>
            <w:gridSpan w:val="13"/>
            <w:noWrap w:val="0"/>
            <w:vAlign w:val="center"/>
          </w:tcPr>
          <w:p>
            <w:pPr>
              <w:spacing w:line="48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1362" w:type="dxa"/>
            <w:vMerge w:val="continue"/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772" w:type="dxa"/>
            <w:gridSpan w:val="5"/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施工组织管理</w:t>
            </w:r>
          </w:p>
        </w:tc>
        <w:tc>
          <w:tcPr>
            <w:tcW w:w="4967" w:type="dxa"/>
            <w:gridSpan w:val="13"/>
            <w:noWrap w:val="0"/>
            <w:vAlign w:val="center"/>
          </w:tcPr>
          <w:p>
            <w:pPr>
              <w:spacing w:line="48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1362" w:type="dxa"/>
            <w:vMerge w:val="continue"/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772" w:type="dxa"/>
            <w:gridSpan w:val="5"/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投资估算及效益分析</w:t>
            </w:r>
          </w:p>
        </w:tc>
        <w:tc>
          <w:tcPr>
            <w:tcW w:w="4967" w:type="dxa"/>
            <w:gridSpan w:val="13"/>
            <w:noWrap w:val="0"/>
            <w:vAlign w:val="center"/>
          </w:tcPr>
          <w:p>
            <w:pPr>
              <w:spacing w:line="48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2" w:hRule="atLeast"/>
          <w:jc w:val="center"/>
        </w:trPr>
        <w:tc>
          <w:tcPr>
            <w:tcW w:w="1362" w:type="dxa"/>
            <w:vMerge w:val="continue"/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739" w:type="dxa"/>
            <w:gridSpan w:val="18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专家应提出对该方案总体是否同意的意见及其他意见。</w:t>
            </w:r>
          </w:p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（专家签名）</w:t>
            </w:r>
          </w:p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62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编制单位</w:t>
            </w:r>
          </w:p>
        </w:tc>
        <w:tc>
          <w:tcPr>
            <w:tcW w:w="3353" w:type="dxa"/>
            <w:gridSpan w:val="6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（盖章）</w:t>
            </w:r>
          </w:p>
        </w:tc>
        <w:tc>
          <w:tcPr>
            <w:tcW w:w="2126" w:type="dxa"/>
            <w:gridSpan w:val="6"/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建设单位</w:t>
            </w:r>
          </w:p>
        </w:tc>
        <w:tc>
          <w:tcPr>
            <w:tcW w:w="2260" w:type="dxa"/>
            <w:gridSpan w:val="6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281" w:type="dxa"/>
            <w:gridSpan w:val="2"/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法人代表及电话</w:t>
            </w:r>
          </w:p>
        </w:tc>
        <w:tc>
          <w:tcPr>
            <w:tcW w:w="2434" w:type="dxa"/>
            <w:gridSpan w:val="5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126" w:type="dxa"/>
            <w:gridSpan w:val="6"/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法人代表及电话</w:t>
            </w:r>
          </w:p>
        </w:tc>
        <w:tc>
          <w:tcPr>
            <w:tcW w:w="2260" w:type="dxa"/>
            <w:gridSpan w:val="6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281" w:type="dxa"/>
            <w:gridSpan w:val="2"/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地址</w:t>
            </w:r>
          </w:p>
        </w:tc>
        <w:tc>
          <w:tcPr>
            <w:tcW w:w="2434" w:type="dxa"/>
            <w:gridSpan w:val="5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126" w:type="dxa"/>
            <w:gridSpan w:val="6"/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地址</w:t>
            </w:r>
          </w:p>
        </w:tc>
        <w:tc>
          <w:tcPr>
            <w:tcW w:w="2260" w:type="dxa"/>
            <w:gridSpan w:val="6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281" w:type="dxa"/>
            <w:gridSpan w:val="2"/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邮编</w:t>
            </w:r>
          </w:p>
        </w:tc>
        <w:tc>
          <w:tcPr>
            <w:tcW w:w="2434" w:type="dxa"/>
            <w:gridSpan w:val="5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126" w:type="dxa"/>
            <w:gridSpan w:val="6"/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邮编</w:t>
            </w:r>
          </w:p>
        </w:tc>
        <w:tc>
          <w:tcPr>
            <w:tcW w:w="2260" w:type="dxa"/>
            <w:gridSpan w:val="6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</w:tbl>
    <w:p>
      <w:pPr>
        <w:pStyle w:val="3"/>
        <w:snapToGrid w:val="0"/>
        <w:spacing w:line="600" w:lineRule="exact"/>
        <w:ind w:firstLine="0" w:firstLineChars="0"/>
        <w:jc w:val="center"/>
        <w:outlineLvl w:val="0"/>
        <w:rPr>
          <w:rFonts w:ascii="Times New Roman" w:hAnsi="Times New Roman" w:eastAsia="方正小标宋_GBK"/>
          <w:b/>
          <w:bCs/>
          <w:sz w:val="44"/>
          <w:szCs w:val="30"/>
        </w:rPr>
      </w:pPr>
    </w:p>
    <w:p>
      <w:pPr>
        <w:pStyle w:val="3"/>
        <w:snapToGrid w:val="0"/>
        <w:spacing w:line="480" w:lineRule="exact"/>
        <w:ind w:firstLine="0" w:firstLineChars="0"/>
        <w:jc w:val="left"/>
        <w:outlineLvl w:val="0"/>
        <w:rPr>
          <w:rFonts w:ascii="Times New Roman" w:hAnsi="Times New Roman"/>
          <w:bCs/>
          <w:szCs w:val="30"/>
        </w:rPr>
      </w:pPr>
      <w:r>
        <w:rPr>
          <w:rFonts w:ascii="Times New Roman" w:hAnsi="Times New Roman"/>
          <w:bCs/>
          <w:szCs w:val="30"/>
        </w:rPr>
        <w:t>注：1．封面后应附责任页，编写、审核、审定等相关人员签字。</w:t>
      </w:r>
    </w:p>
    <w:p>
      <w:pPr>
        <w:pStyle w:val="3"/>
        <w:snapToGrid w:val="0"/>
        <w:spacing w:line="480" w:lineRule="exact"/>
        <w:jc w:val="left"/>
        <w:outlineLvl w:val="0"/>
        <w:rPr>
          <w:rFonts w:ascii="Times New Roman" w:hAnsi="Times New Roman"/>
          <w:bCs/>
          <w:szCs w:val="30"/>
        </w:rPr>
      </w:pPr>
      <w:r>
        <w:rPr>
          <w:rFonts w:ascii="Times New Roman" w:hAnsi="Times New Roman"/>
          <w:bCs/>
          <w:szCs w:val="30"/>
        </w:rPr>
        <w:t>2．报告表后应附项目支持性文件、地理位置图和总平面布置图。</w:t>
      </w:r>
    </w:p>
    <w:p>
      <w:pPr>
        <w:pStyle w:val="3"/>
        <w:snapToGrid w:val="0"/>
        <w:spacing w:line="480" w:lineRule="exact"/>
        <w:jc w:val="left"/>
        <w:outlineLvl w:val="0"/>
        <w:rPr>
          <w:rFonts w:ascii="Times New Roman" w:hAnsi="Times New Roman" w:eastAsia="方正小标宋_GBK"/>
          <w:b/>
          <w:bCs/>
          <w:sz w:val="44"/>
          <w:szCs w:val="30"/>
        </w:rPr>
      </w:pPr>
      <w:r>
        <w:rPr>
          <w:rFonts w:ascii="Times New Roman" w:hAnsi="Times New Roman"/>
          <w:bCs/>
          <w:szCs w:val="30"/>
        </w:rPr>
        <w:t>3．用此表表达不清楚的事项，可用附页表述。</w:t>
      </w:r>
    </w:p>
    <w:p>
      <w:pPr>
        <w:spacing w:line="600" w:lineRule="exact"/>
        <w:rPr>
          <w:rFonts w:ascii="Times New Roman" w:hAnsi="Times New Roman"/>
          <w:b/>
          <w:bCs/>
          <w:kern w:val="0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 xml:space="preserve">— 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PAGE   \* MERGEFORMAT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  <w:lang w:val="zh-CN"/>
      </w:rPr>
      <w:t>1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DA15B0"/>
    <w:rsid w:val="523174E4"/>
    <w:rsid w:val="53FBF819"/>
    <w:rsid w:val="5EDA15B0"/>
    <w:rsid w:val="654B149C"/>
    <w:rsid w:val="EFFE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ind w:left="120" w:firstLine="640"/>
    </w:pPr>
    <w:rPr>
      <w:rFonts w:ascii="仿宋_GB2312" w:hAnsi="仿宋_GB2312" w:eastAsia="仿宋_GB2312"/>
      <w:sz w:val="32"/>
      <w:szCs w:val="32"/>
    </w:rPr>
  </w:style>
  <w:style w:type="paragraph" w:styleId="3">
    <w:name w:val="Body Text Indent"/>
    <w:basedOn w:val="1"/>
    <w:qFormat/>
    <w:uiPriority w:val="0"/>
    <w:pPr>
      <w:ind w:firstLine="600" w:firstLineChars="200"/>
    </w:pPr>
    <w:rPr>
      <w:rFonts w:ascii="仿宋_GB2312" w:eastAsia="仿宋_GB2312"/>
      <w:sz w:val="3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2021-10-29T11:54:00Z</dcterms:created>
  <dc:creator>刘伟</dc:creator>
  <cp:lastModifiedBy>刘伟</cp:lastModifiedBy>
  <dcterms:modified xsi:type="dcterms:W3CDTF">2021-10-29T08:16:21Z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