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附件1</w:t>
      </w:r>
    </w:p>
    <w:p>
      <w:pPr>
        <w:keepNext w:val="0"/>
        <w:keepLines w:val="0"/>
        <w:pageBreakBefore w:val="0"/>
        <w:widowControl/>
        <w:kinsoku/>
        <w:wordWrap/>
        <w:overflowPunct/>
        <w:topLinePunct w:val="0"/>
        <w:autoSpaceDE/>
        <w:autoSpaceDN/>
        <w:bidi w:val="0"/>
        <w:adjustRightInd w:val="0"/>
        <w:snapToGrid w:val="0"/>
        <w:spacing w:after="188" w:afterLines="60"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山洪灾害监测预警监督检查问题分类标准</w:t>
      </w:r>
    </w:p>
    <w:tbl>
      <w:tblPr>
        <w:tblStyle w:val="3"/>
        <w:tblW w:w="16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50"/>
        <w:gridCol w:w="1300"/>
        <w:gridCol w:w="5287"/>
        <w:gridCol w:w="6250"/>
        <w:gridCol w:w="400"/>
        <w:gridCol w:w="433"/>
        <w:gridCol w:w="383"/>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2" w:hRule="atLeast"/>
          <w:tblHeader/>
        </w:trPr>
        <w:tc>
          <w:tcPr>
            <w:tcW w:w="515" w:type="dxa"/>
            <w:vMerge w:val="restart"/>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序号</w:t>
            </w:r>
          </w:p>
        </w:tc>
        <w:tc>
          <w:tcPr>
            <w:tcW w:w="1150" w:type="dxa"/>
            <w:vMerge w:val="restart"/>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检查</w:t>
            </w:r>
          </w:p>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项目</w:t>
            </w:r>
          </w:p>
        </w:tc>
        <w:tc>
          <w:tcPr>
            <w:tcW w:w="1300" w:type="dxa"/>
            <w:vMerge w:val="restart"/>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检查</w:t>
            </w:r>
          </w:p>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对象</w:t>
            </w:r>
          </w:p>
        </w:tc>
        <w:tc>
          <w:tcPr>
            <w:tcW w:w="5287" w:type="dxa"/>
            <w:vMerge w:val="restart"/>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问题名称</w:t>
            </w:r>
          </w:p>
        </w:tc>
        <w:tc>
          <w:tcPr>
            <w:tcW w:w="6250" w:type="dxa"/>
            <w:vMerge w:val="restart"/>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问题描述</w:t>
            </w:r>
          </w:p>
        </w:tc>
        <w:tc>
          <w:tcPr>
            <w:tcW w:w="1616" w:type="dxa"/>
            <w:gridSpan w:val="4"/>
            <w:noWrap w:val="0"/>
            <w:vAlign w:val="center"/>
          </w:tcPr>
          <w:p>
            <w:pPr>
              <w:spacing w:line="320" w:lineRule="exact"/>
              <w:jc w:val="center"/>
              <w:rPr>
                <w:rFonts w:hint="eastAsia" w:ascii="黑体" w:hAnsi="黑体" w:eastAsia="黑体" w:cs="黑体"/>
                <w:b/>
                <w:spacing w:val="0"/>
                <w:w w:val="100"/>
                <w:sz w:val="28"/>
                <w:szCs w:val="28"/>
              </w:rPr>
            </w:pPr>
            <w:r>
              <w:rPr>
                <w:rFonts w:hint="eastAsia" w:ascii="黑体" w:hAnsi="黑体" w:eastAsia="黑体" w:cs="黑体"/>
                <w:b/>
                <w:spacing w:val="0"/>
                <w:w w:val="100"/>
                <w:sz w:val="28"/>
                <w:szCs w:val="28"/>
              </w:rPr>
              <w:t>问题等级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blHeader/>
        </w:trPr>
        <w:tc>
          <w:tcPr>
            <w:tcW w:w="515" w:type="dxa"/>
            <w:vMerge w:val="continue"/>
            <w:noWrap w:val="0"/>
            <w:vAlign w:val="center"/>
          </w:tcPr>
          <w:p>
            <w:pPr>
              <w:spacing w:line="320" w:lineRule="exact"/>
              <w:jc w:val="center"/>
              <w:rPr>
                <w:rFonts w:hint="eastAsia" w:ascii="黑体" w:hAnsi="黑体" w:eastAsia="黑体" w:cs="黑体"/>
                <w:b/>
                <w:spacing w:val="0"/>
                <w:w w:val="100"/>
                <w:sz w:val="28"/>
                <w:szCs w:val="28"/>
              </w:rPr>
            </w:pPr>
          </w:p>
        </w:tc>
        <w:tc>
          <w:tcPr>
            <w:tcW w:w="1150" w:type="dxa"/>
            <w:vMerge w:val="continue"/>
            <w:noWrap w:val="0"/>
            <w:vAlign w:val="center"/>
          </w:tcPr>
          <w:p>
            <w:pPr>
              <w:spacing w:line="320" w:lineRule="exact"/>
              <w:jc w:val="center"/>
              <w:rPr>
                <w:rFonts w:hint="eastAsia" w:ascii="黑体" w:hAnsi="黑体" w:eastAsia="黑体" w:cs="黑体"/>
                <w:b/>
                <w:spacing w:val="0"/>
                <w:w w:val="100"/>
                <w:sz w:val="28"/>
                <w:szCs w:val="28"/>
              </w:rPr>
            </w:pPr>
          </w:p>
        </w:tc>
        <w:tc>
          <w:tcPr>
            <w:tcW w:w="1300" w:type="dxa"/>
            <w:vMerge w:val="continue"/>
            <w:noWrap w:val="0"/>
            <w:vAlign w:val="center"/>
          </w:tcPr>
          <w:p>
            <w:pPr>
              <w:spacing w:line="320" w:lineRule="exact"/>
              <w:jc w:val="center"/>
              <w:rPr>
                <w:rFonts w:hint="eastAsia" w:ascii="黑体" w:hAnsi="黑体" w:eastAsia="黑体" w:cs="黑体"/>
                <w:b/>
                <w:spacing w:val="0"/>
                <w:w w:val="100"/>
                <w:sz w:val="28"/>
                <w:szCs w:val="28"/>
              </w:rPr>
            </w:pPr>
          </w:p>
        </w:tc>
        <w:tc>
          <w:tcPr>
            <w:tcW w:w="5287" w:type="dxa"/>
            <w:vMerge w:val="continue"/>
            <w:noWrap w:val="0"/>
            <w:vAlign w:val="center"/>
          </w:tcPr>
          <w:p>
            <w:pPr>
              <w:spacing w:line="320" w:lineRule="exact"/>
              <w:jc w:val="center"/>
              <w:rPr>
                <w:rFonts w:hint="eastAsia" w:ascii="黑体" w:hAnsi="黑体" w:eastAsia="黑体" w:cs="黑体"/>
                <w:b/>
                <w:spacing w:val="0"/>
                <w:w w:val="100"/>
                <w:sz w:val="28"/>
                <w:szCs w:val="28"/>
              </w:rPr>
            </w:pPr>
          </w:p>
        </w:tc>
        <w:tc>
          <w:tcPr>
            <w:tcW w:w="6250" w:type="dxa"/>
            <w:vMerge w:val="continue"/>
            <w:noWrap w:val="0"/>
            <w:vAlign w:val="center"/>
          </w:tcPr>
          <w:p>
            <w:pPr>
              <w:spacing w:line="320" w:lineRule="exact"/>
              <w:jc w:val="center"/>
              <w:rPr>
                <w:rFonts w:hint="eastAsia" w:ascii="黑体" w:hAnsi="黑体" w:eastAsia="黑体" w:cs="黑体"/>
                <w:b/>
                <w:spacing w:val="0"/>
                <w:w w:val="100"/>
                <w:sz w:val="28"/>
                <w:szCs w:val="28"/>
              </w:rPr>
            </w:pPr>
          </w:p>
        </w:tc>
        <w:tc>
          <w:tcPr>
            <w:tcW w:w="400" w:type="dxa"/>
            <w:noWrap w:val="0"/>
            <w:vAlign w:val="center"/>
          </w:tcPr>
          <w:p>
            <w:pPr>
              <w:spacing w:line="320" w:lineRule="exact"/>
              <w:jc w:val="center"/>
              <w:rPr>
                <w:rFonts w:hint="eastAsia" w:ascii="黑体" w:hAnsi="黑体" w:eastAsia="黑体" w:cs="黑体"/>
                <w:spacing w:val="0"/>
                <w:w w:val="100"/>
                <w:sz w:val="28"/>
                <w:szCs w:val="28"/>
              </w:rPr>
            </w:pPr>
            <w:r>
              <w:rPr>
                <w:rFonts w:hint="eastAsia" w:ascii="黑体" w:hAnsi="黑体" w:eastAsia="黑体" w:cs="黑体"/>
                <w:spacing w:val="0"/>
                <w:w w:val="100"/>
                <w:sz w:val="28"/>
                <w:szCs w:val="28"/>
              </w:rPr>
              <w:t>一般</w:t>
            </w:r>
          </w:p>
        </w:tc>
        <w:tc>
          <w:tcPr>
            <w:tcW w:w="433" w:type="dxa"/>
            <w:noWrap w:val="0"/>
            <w:vAlign w:val="center"/>
          </w:tcPr>
          <w:p>
            <w:pPr>
              <w:spacing w:line="320" w:lineRule="exact"/>
              <w:jc w:val="center"/>
              <w:rPr>
                <w:rFonts w:hint="eastAsia" w:ascii="黑体" w:hAnsi="黑体" w:eastAsia="黑体" w:cs="黑体"/>
                <w:spacing w:val="0"/>
                <w:w w:val="100"/>
                <w:sz w:val="28"/>
                <w:szCs w:val="28"/>
              </w:rPr>
            </w:pPr>
            <w:r>
              <w:rPr>
                <w:rFonts w:hint="eastAsia" w:ascii="黑体" w:hAnsi="黑体" w:eastAsia="黑体" w:cs="黑体"/>
                <w:spacing w:val="0"/>
                <w:w w:val="100"/>
                <w:sz w:val="28"/>
                <w:szCs w:val="28"/>
              </w:rPr>
              <w:t>较重</w:t>
            </w:r>
          </w:p>
        </w:tc>
        <w:tc>
          <w:tcPr>
            <w:tcW w:w="383" w:type="dxa"/>
            <w:noWrap w:val="0"/>
            <w:vAlign w:val="center"/>
          </w:tcPr>
          <w:p>
            <w:pPr>
              <w:spacing w:line="320" w:lineRule="exact"/>
              <w:jc w:val="center"/>
              <w:rPr>
                <w:rFonts w:hint="eastAsia" w:ascii="黑体" w:hAnsi="黑体" w:eastAsia="黑体" w:cs="黑体"/>
                <w:spacing w:val="0"/>
                <w:w w:val="100"/>
                <w:sz w:val="28"/>
                <w:szCs w:val="28"/>
              </w:rPr>
            </w:pPr>
            <w:r>
              <w:rPr>
                <w:rFonts w:hint="eastAsia" w:ascii="黑体" w:hAnsi="黑体" w:eastAsia="黑体" w:cs="黑体"/>
                <w:spacing w:val="0"/>
                <w:w w:val="100"/>
                <w:sz w:val="28"/>
                <w:szCs w:val="28"/>
              </w:rPr>
              <w:t>严重</w:t>
            </w:r>
          </w:p>
        </w:tc>
        <w:tc>
          <w:tcPr>
            <w:tcW w:w="400" w:type="dxa"/>
            <w:noWrap w:val="0"/>
            <w:vAlign w:val="center"/>
          </w:tcPr>
          <w:p>
            <w:pPr>
              <w:spacing w:line="320" w:lineRule="exact"/>
              <w:jc w:val="center"/>
              <w:rPr>
                <w:rFonts w:hint="eastAsia" w:ascii="黑体" w:hAnsi="黑体" w:eastAsia="黑体" w:cs="黑体"/>
                <w:spacing w:val="0"/>
                <w:w w:val="100"/>
                <w:sz w:val="28"/>
                <w:szCs w:val="28"/>
              </w:rPr>
            </w:pPr>
            <w:r>
              <w:rPr>
                <w:rFonts w:hint="eastAsia" w:ascii="黑体" w:hAnsi="黑体" w:eastAsia="黑体" w:cs="黑体"/>
                <w:spacing w:val="0"/>
                <w:w w:val="100"/>
                <w:sz w:val="28"/>
                <w:szCs w:val="28"/>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restart"/>
            <w:noWrap w:val="0"/>
            <w:vAlign w:val="center"/>
          </w:tcPr>
          <w:p>
            <w:pPr>
              <w:spacing w:line="320" w:lineRule="exact"/>
              <w:jc w:val="center"/>
              <w:rPr>
                <w:rFonts w:hint="eastAsia" w:ascii="仿宋" w:hAnsi="仿宋" w:eastAsia="仿宋" w:cs="仿宋"/>
                <w:spacing w:val="0"/>
                <w:w w:val="100"/>
                <w:sz w:val="28"/>
                <w:szCs w:val="28"/>
                <w:highlight w:val="yellow"/>
              </w:rPr>
            </w:pPr>
            <w:r>
              <w:rPr>
                <w:rFonts w:hint="eastAsia" w:ascii="仿宋" w:hAnsi="仿宋" w:eastAsia="仿宋" w:cs="仿宋"/>
                <w:spacing w:val="0"/>
                <w:w w:val="100"/>
                <w:sz w:val="28"/>
                <w:szCs w:val="28"/>
              </w:rPr>
              <w:t>1</w:t>
            </w:r>
          </w:p>
        </w:tc>
        <w:tc>
          <w:tcPr>
            <w:tcW w:w="115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自动监测系统</w:t>
            </w:r>
          </w:p>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 xml:space="preserve">运行情况 </w:t>
            </w:r>
          </w:p>
        </w:tc>
        <w:tc>
          <w:tcPr>
            <w:tcW w:w="130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站点</w:t>
            </w:r>
          </w:p>
        </w:tc>
        <w:tc>
          <w:tcPr>
            <w:tcW w:w="5287" w:type="dxa"/>
            <w:vMerge w:val="restart"/>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自动监测站点损坏或功能不正常</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1处自动雨量（水位）站点设备不全或外观损坏，经加水测试发现无法正常报汛</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5287" w:type="dxa"/>
            <w:vMerge w:val="continue"/>
            <w:noWrap w:val="0"/>
            <w:vAlign w:val="center"/>
          </w:tcPr>
          <w:p>
            <w:pPr>
              <w:spacing w:line="320" w:lineRule="exact"/>
              <w:rPr>
                <w:rFonts w:hint="eastAsia" w:ascii="仿宋" w:hAnsi="仿宋" w:eastAsia="仿宋" w:cs="仿宋"/>
                <w:spacing w:val="0"/>
                <w:w w:val="100"/>
                <w:sz w:val="28"/>
                <w:szCs w:val="28"/>
              </w:rPr>
            </w:pP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2处及以上自动雨量（水位）站点设备不全或外观损坏，经加水测试发现无法正常报汛</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Arial" w:hAnsi="Arial" w:eastAsia="宋体" w:cs="Arial"/>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2</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接收端</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自动监测站点存在奇异值现象</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1处或以上自动监测站点报汛值异常</w:t>
            </w:r>
          </w:p>
        </w:tc>
        <w:tc>
          <w:tcPr>
            <w:tcW w:w="400"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3</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前置机工作不正常</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不能查看站点状态，未监测到实时降雨</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4</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自动监测站点在线率低于90%</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站点在线率（正常运行站点/全部站点）低于90%</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5</w:t>
            </w:r>
          </w:p>
        </w:tc>
        <w:tc>
          <w:tcPr>
            <w:tcW w:w="115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监测预警平台日常运行情况</w:t>
            </w: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县级到上级（省市级）网络不畅通</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因网络故障导致网站不能访问</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6</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县级监测预警平台硬件不能正常运行</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县级平台服务器、交换机、路由器等硬件不能正常运行</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省级监测预警平台硬件不能正常运行</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省级平台服务器、交换机、路由器等硬件不能正常运行导致省内各县不能使用监测预警平台</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Arial" w:hAnsi="Arial" w:eastAsia="宋体" w:cs="Arial"/>
                <w:spacing w:val="0"/>
                <w:w w:val="100"/>
                <w:szCs w:val="21"/>
              </w:rPr>
            </w:pPr>
          </w:p>
        </w:tc>
        <w:tc>
          <w:tcPr>
            <w:tcW w:w="400" w:type="dxa"/>
            <w:noWrap w:val="0"/>
            <w:vAlign w:val="center"/>
          </w:tcPr>
          <w:p>
            <w:pPr>
              <w:spacing w:line="320" w:lineRule="exact"/>
              <w:jc w:val="center"/>
              <w:rPr>
                <w:rFonts w:ascii="Arial" w:hAnsi="Arial" w:eastAsia="宋体" w:cs="Arial"/>
                <w:spacing w:val="0"/>
                <w:w w:val="100"/>
                <w:szCs w:val="21"/>
              </w:rPr>
            </w:pPr>
            <w:r>
              <w:rPr>
                <w:rFonts w:ascii="Arial" w:hAnsi="Arial" w:eastAsia="宋体" w:cs="Arial"/>
                <w:spacing w:val="0"/>
                <w:w w:val="1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7</w:t>
            </w:r>
          </w:p>
        </w:tc>
        <w:tc>
          <w:tcPr>
            <w:tcW w:w="115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监测预警平台日常运行情况</w:t>
            </w:r>
          </w:p>
        </w:tc>
        <w:tc>
          <w:tcPr>
            <w:tcW w:w="130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县级监测预警平台软件不能正常运行</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县级平台数据接收软件、应用软件、系统软件等不能正常运行（或者平台忘记密码无法登陆）</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省级监测预警平台软件不能正常运行</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省级平台数据接收软件、应用软件、系统软件等不能正常运行导致省内各县不能使用监测预警平台</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Arial" w:hAnsi="Arial" w:eastAsia="宋体" w:cs="Arial"/>
                <w:spacing w:val="0"/>
                <w:w w:val="100"/>
                <w:szCs w:val="21"/>
              </w:rPr>
            </w:pPr>
          </w:p>
        </w:tc>
        <w:tc>
          <w:tcPr>
            <w:tcW w:w="400" w:type="dxa"/>
            <w:noWrap w:val="0"/>
            <w:vAlign w:val="center"/>
          </w:tcPr>
          <w:p>
            <w:pPr>
              <w:spacing w:line="320" w:lineRule="exact"/>
              <w:jc w:val="center"/>
              <w:rPr>
                <w:rFonts w:ascii="Arial" w:hAnsi="Arial" w:eastAsia="宋体" w:cs="Arial"/>
                <w:spacing w:val="0"/>
                <w:w w:val="100"/>
                <w:szCs w:val="21"/>
              </w:rPr>
            </w:pPr>
            <w:r>
              <w:rPr>
                <w:rFonts w:ascii="Arial" w:hAnsi="Arial" w:eastAsia="宋体" w:cs="Arial"/>
                <w:spacing w:val="0"/>
                <w:w w:val="1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8</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县级（或省级）监测预警平台不能正常查询水雨情信息</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县级（或省级）平台不能查询到实时水雨情信息</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9</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县域内水文气象监测站点信息未实现共享</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无法通过监测预警平台或相关平台查询县域内水文气象站点实时监测数据</w:t>
            </w:r>
          </w:p>
        </w:tc>
        <w:tc>
          <w:tcPr>
            <w:tcW w:w="400"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10</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县级</w:t>
            </w:r>
            <w:r>
              <w:rPr>
                <w:rFonts w:hint="eastAsia" w:ascii="仿宋" w:hAnsi="仿宋" w:eastAsia="仿宋" w:cs="仿宋"/>
                <w:spacing w:val="0"/>
                <w:w w:val="100"/>
                <w:sz w:val="28"/>
                <w:szCs w:val="28"/>
              </w:rPr>
              <w:t>监测预警平台不能正常发布预警信息</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现场通过监测预警平台发送预警测试短信，发现预警信息发送失败或责任人接收不到预警信息</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11</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lang w:eastAsia="zh-CN"/>
              </w:rPr>
              <w:t>县级</w:t>
            </w:r>
            <w:r>
              <w:rPr>
                <w:rFonts w:hint="eastAsia" w:ascii="仿宋" w:hAnsi="仿宋" w:eastAsia="仿宋" w:cs="仿宋"/>
                <w:spacing w:val="0"/>
                <w:w w:val="100"/>
                <w:sz w:val="28"/>
                <w:szCs w:val="28"/>
              </w:rPr>
              <w:t>监测预警平台软件未设置或未及时更新责任人、预警指标</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现场查看平台发现未内置或未及时更新责任人姓名、联系方式、预警指标</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12</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县级无其他预警信息发布渠道</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除平台发布预警之外，未落实传真、电视、广播、微信、政务通、企信通等其他发布渠道之一</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13</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县级（省级）监测预警平台未配备备用电源或配备后已损坏</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未配备UPS、发电机等设备，或设备出现故障</w:t>
            </w:r>
          </w:p>
        </w:tc>
        <w:tc>
          <w:tcPr>
            <w:tcW w:w="400"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14</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县级或省级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县级（省级）监测预警平台网络通信费用未及时缴纳</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因网络通信费用未及时缴纳导致平台无法访问</w:t>
            </w:r>
          </w:p>
        </w:tc>
        <w:tc>
          <w:tcPr>
            <w:tcW w:w="400"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15</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县级水行政主管部门水旱灾害防御工作人员不能熟练查询雨水情信息</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现场测试，发现工作人员不能熟练查询近期雨水情信息</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16</w:t>
            </w:r>
          </w:p>
        </w:tc>
        <w:tc>
          <w:tcPr>
            <w:tcW w:w="115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监测预警平台日常运行情况</w:t>
            </w: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县级水行政主管部门水旱灾害防御工作人员不能熟练发布预警信息</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现场测试，发现工作人员不能熟练发布预警信息</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17</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未落实专人负责运维管理</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通过查看运行维护合同和运行维护日志等相关材料，发现未落实专人负责运维管理或未通过委托专业机构或购买服务的方式对监测预警设施设备进行维护</w:t>
            </w:r>
          </w:p>
        </w:tc>
        <w:tc>
          <w:tcPr>
            <w:tcW w:w="400"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p>
        </w:tc>
        <w:tc>
          <w:tcPr>
            <w:tcW w:w="400" w:type="dxa"/>
            <w:noWrap w:val="0"/>
            <w:vAlign w:val="center"/>
          </w:tcPr>
          <w:p>
            <w:pPr>
              <w:spacing w:line="320" w:lineRule="exact"/>
              <w:jc w:val="center"/>
              <w:rPr>
                <w:rFonts w:ascii="宋体" w:hAnsi="宋体" w:eastAsia="宋体" w:cs="宋体"/>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18</w:t>
            </w:r>
          </w:p>
        </w:tc>
        <w:tc>
          <w:tcPr>
            <w:tcW w:w="1150" w:type="dxa"/>
            <w:vMerge w:val="restart"/>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预警信息</w:t>
            </w:r>
          </w:p>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发布情况</w:t>
            </w:r>
          </w:p>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某场强降雨过程，监测雨水情超过预设的预警指标时，县级平台未能及时发送预警</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通过查看强降雨过程预警信息发布记录，判断预警未发送或不成功</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19</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县级及</w:t>
            </w:r>
          </w:p>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以下</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预警信息未传达到预警平台内置的相关责任人</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通过查询、询问等方式，发现预警平台内置的有关责任人除个人原因外，未通过任何一种方式收到预警信息</w:t>
            </w:r>
          </w:p>
        </w:tc>
        <w:tc>
          <w:tcPr>
            <w:tcW w:w="400" w:type="dxa"/>
            <w:noWrap w:val="0"/>
            <w:vAlign w:val="center"/>
          </w:tcPr>
          <w:p>
            <w:pPr>
              <w:spacing w:line="320" w:lineRule="exact"/>
              <w:jc w:val="center"/>
              <w:rPr>
                <w:rFonts w:ascii="宋体" w:hAnsi="宋体" w:eastAsia="宋体" w:cs="宋体"/>
                <w:spacing w:val="0"/>
                <w:w w:val="100"/>
                <w:szCs w:val="21"/>
              </w:rPr>
            </w:pP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宋体" w:hAnsi="宋体" w:eastAsia="宋体" w:cs="宋体"/>
                <w:spacing w:val="0"/>
                <w:w w:val="100"/>
                <w:szCs w:val="21"/>
              </w:rPr>
            </w:pPr>
            <w:r>
              <w:rPr>
                <w:rFonts w:ascii="Arial" w:hAnsi="Arial" w:eastAsia="宋体" w:cs="Arial"/>
                <w:spacing w:val="0"/>
                <w:w w:val="100"/>
                <w:szCs w:val="21"/>
              </w:rPr>
              <w:t>√</w:t>
            </w:r>
          </w:p>
        </w:tc>
        <w:tc>
          <w:tcPr>
            <w:tcW w:w="400" w:type="dxa"/>
            <w:noWrap w:val="0"/>
            <w:vAlign w:val="center"/>
          </w:tcPr>
          <w:p>
            <w:pPr>
              <w:spacing w:line="320" w:lineRule="exact"/>
              <w:jc w:val="center"/>
              <w:rPr>
                <w:rFonts w:ascii="Arial" w:hAnsi="Arial" w:eastAsia="宋体" w:cs="Arial"/>
                <w:spacing w:val="0"/>
                <w:w w:val="1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15" w:type="dxa"/>
            <w:noWrap w:val="0"/>
            <w:vAlign w:val="center"/>
          </w:tcPr>
          <w:p>
            <w:pPr>
              <w:spacing w:line="320" w:lineRule="exact"/>
              <w:jc w:val="center"/>
              <w:rPr>
                <w:rFonts w:ascii="仿宋" w:hAnsi="仿宋" w:eastAsia="仿宋" w:cs="仿宋"/>
                <w:spacing w:val="0"/>
                <w:w w:val="100"/>
                <w:sz w:val="28"/>
                <w:szCs w:val="28"/>
              </w:rPr>
            </w:pPr>
            <w:r>
              <w:rPr>
                <w:rFonts w:hint="eastAsia" w:ascii="仿宋" w:hAnsi="仿宋" w:eastAsia="仿宋" w:cs="仿宋"/>
                <w:spacing w:val="0"/>
                <w:w w:val="100"/>
                <w:sz w:val="28"/>
                <w:szCs w:val="28"/>
              </w:rPr>
              <w:t>20</w:t>
            </w:r>
          </w:p>
        </w:tc>
        <w:tc>
          <w:tcPr>
            <w:tcW w:w="1150" w:type="dxa"/>
            <w:vMerge w:val="continue"/>
            <w:noWrap w:val="0"/>
            <w:vAlign w:val="center"/>
          </w:tcPr>
          <w:p>
            <w:pPr>
              <w:spacing w:line="320" w:lineRule="exact"/>
              <w:jc w:val="center"/>
              <w:rPr>
                <w:rFonts w:hint="eastAsia" w:ascii="仿宋" w:hAnsi="仿宋" w:eastAsia="仿宋" w:cs="仿宋"/>
                <w:spacing w:val="0"/>
                <w:w w:val="100"/>
                <w:sz w:val="28"/>
                <w:szCs w:val="28"/>
              </w:rPr>
            </w:pPr>
          </w:p>
        </w:tc>
        <w:tc>
          <w:tcPr>
            <w:tcW w:w="1300" w:type="dxa"/>
            <w:noWrap w:val="0"/>
            <w:vAlign w:val="center"/>
          </w:tcPr>
          <w:p>
            <w:pPr>
              <w:spacing w:line="320" w:lineRule="exact"/>
              <w:jc w:val="center"/>
              <w:rPr>
                <w:rFonts w:hint="eastAsia" w:ascii="仿宋" w:hAnsi="仿宋" w:eastAsia="仿宋" w:cs="仿宋"/>
                <w:spacing w:val="0"/>
                <w:w w:val="100"/>
                <w:sz w:val="28"/>
                <w:szCs w:val="28"/>
              </w:rPr>
            </w:pPr>
            <w:r>
              <w:rPr>
                <w:rFonts w:hint="eastAsia" w:ascii="仿宋" w:hAnsi="仿宋" w:eastAsia="仿宋" w:cs="仿宋"/>
                <w:spacing w:val="0"/>
                <w:w w:val="100"/>
                <w:sz w:val="28"/>
                <w:szCs w:val="28"/>
              </w:rPr>
              <w:t>县级</w:t>
            </w:r>
          </w:p>
        </w:tc>
        <w:tc>
          <w:tcPr>
            <w:tcW w:w="5287"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未依托基础电信企业向社会公众发布预警信息</w:t>
            </w:r>
          </w:p>
        </w:tc>
        <w:tc>
          <w:tcPr>
            <w:tcW w:w="6250" w:type="dxa"/>
            <w:noWrap w:val="0"/>
            <w:vAlign w:val="center"/>
          </w:tcPr>
          <w:p>
            <w:pPr>
              <w:spacing w:line="320" w:lineRule="exact"/>
              <w:rPr>
                <w:rFonts w:hint="eastAsia" w:ascii="仿宋" w:hAnsi="仿宋" w:eastAsia="仿宋" w:cs="仿宋"/>
                <w:spacing w:val="0"/>
                <w:w w:val="100"/>
                <w:sz w:val="28"/>
                <w:szCs w:val="28"/>
              </w:rPr>
            </w:pPr>
            <w:r>
              <w:rPr>
                <w:rFonts w:hint="eastAsia" w:ascii="仿宋" w:hAnsi="仿宋" w:eastAsia="仿宋" w:cs="仿宋"/>
                <w:spacing w:val="0"/>
                <w:w w:val="100"/>
                <w:sz w:val="28"/>
                <w:szCs w:val="28"/>
              </w:rPr>
              <w:t>通过基础电信企业反馈的相关短信发送记录，发现未向社会公众发布预警信息</w:t>
            </w:r>
          </w:p>
        </w:tc>
        <w:tc>
          <w:tcPr>
            <w:tcW w:w="400" w:type="dxa"/>
            <w:noWrap w:val="0"/>
            <w:vAlign w:val="center"/>
          </w:tcPr>
          <w:p>
            <w:pPr>
              <w:spacing w:line="320" w:lineRule="exact"/>
              <w:jc w:val="center"/>
              <w:rPr>
                <w:rFonts w:ascii="Arial" w:hAnsi="Arial" w:eastAsia="宋体" w:cs="Arial"/>
                <w:spacing w:val="0"/>
                <w:w w:val="100"/>
                <w:szCs w:val="21"/>
              </w:rPr>
            </w:pPr>
            <w:r>
              <w:rPr>
                <w:rFonts w:ascii="Arial" w:hAnsi="Arial" w:eastAsia="宋体" w:cs="Arial"/>
                <w:spacing w:val="0"/>
                <w:w w:val="100"/>
                <w:szCs w:val="21"/>
              </w:rPr>
              <w:t>√</w:t>
            </w:r>
          </w:p>
        </w:tc>
        <w:tc>
          <w:tcPr>
            <w:tcW w:w="433" w:type="dxa"/>
            <w:noWrap w:val="0"/>
            <w:vAlign w:val="center"/>
          </w:tcPr>
          <w:p>
            <w:pPr>
              <w:spacing w:line="320" w:lineRule="exact"/>
              <w:jc w:val="center"/>
              <w:rPr>
                <w:rFonts w:ascii="宋体" w:hAnsi="宋体" w:eastAsia="宋体" w:cs="宋体"/>
                <w:spacing w:val="0"/>
                <w:w w:val="100"/>
                <w:szCs w:val="21"/>
              </w:rPr>
            </w:pPr>
          </w:p>
        </w:tc>
        <w:tc>
          <w:tcPr>
            <w:tcW w:w="383" w:type="dxa"/>
            <w:noWrap w:val="0"/>
            <w:vAlign w:val="center"/>
          </w:tcPr>
          <w:p>
            <w:pPr>
              <w:spacing w:line="320" w:lineRule="exact"/>
              <w:jc w:val="center"/>
              <w:rPr>
                <w:rFonts w:ascii="Arial" w:hAnsi="Arial" w:eastAsia="宋体" w:cs="Arial"/>
                <w:spacing w:val="0"/>
                <w:w w:val="100"/>
                <w:szCs w:val="21"/>
              </w:rPr>
            </w:pPr>
          </w:p>
        </w:tc>
        <w:tc>
          <w:tcPr>
            <w:tcW w:w="400" w:type="dxa"/>
            <w:noWrap w:val="0"/>
            <w:vAlign w:val="center"/>
          </w:tcPr>
          <w:p>
            <w:pPr>
              <w:spacing w:line="320" w:lineRule="exact"/>
              <w:jc w:val="center"/>
              <w:rPr>
                <w:rFonts w:ascii="Arial" w:hAnsi="Arial" w:eastAsia="宋体" w:cs="Arial"/>
                <w:spacing w:val="0"/>
                <w:w w:val="100"/>
                <w:szCs w:val="21"/>
              </w:rPr>
            </w:pPr>
          </w:p>
        </w:tc>
      </w:tr>
    </w:tbl>
    <w:p>
      <w:pPr>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备注：1.检查县从2076个山洪灾害实施县名录中选择。</w:t>
      </w:r>
    </w:p>
    <w:p>
      <w:pPr>
        <w:adjustRightInd w:val="0"/>
        <w:snapToGrid w:val="0"/>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2.自动监测站点均指山洪灾害防治项目投资建设的站点，其他项目建设的站点不在监督检查范围内。</w:t>
      </w:r>
      <w:bookmarkStart w:id="0" w:name="_GoBack"/>
      <w:bookmarkEnd w:id="0"/>
    </w:p>
    <w:p>
      <w:pPr>
        <w:adjustRightInd w:val="0"/>
        <w:snapToGrid w:val="0"/>
        <w:ind w:firstLine="840" w:firstLineChars="3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3.通过前置机可查看站点是否在线、电池电压、降雨值等。如站点监测数据先发送到县级，再共享到省、</w:t>
      </w:r>
    </w:p>
    <w:p>
      <w:pPr>
        <w:adjustRightInd w:val="0"/>
        <w:snapToGrid w:val="0"/>
        <w:ind w:firstLine="1120" w:firstLineChars="4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市级，则在县级查看；如站点监测数据一站双发，一般在县级查看；如站点监测数据先到省、市级，再分</w:t>
      </w:r>
    </w:p>
    <w:p>
      <w:pPr>
        <w:adjustRightInd w:val="0"/>
        <w:snapToGrid w:val="0"/>
        <w:ind w:firstLine="1120" w:firstLineChars="4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发到县级，在省级查看。</w:t>
      </w:r>
    </w:p>
    <w:p>
      <w:pPr>
        <w:adjustRightInd w:val="0"/>
        <w:snapToGrid w:val="0"/>
        <w:ind w:left="1118" w:leftChars="399" w:hanging="280" w:hanging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4.若县级使用省级</w:t>
      </w:r>
      <w:r>
        <w:rPr>
          <w:rFonts w:hint="eastAsia" w:ascii="仿宋_GB2312" w:hAnsi="仿宋_GB2312" w:eastAsia="仿宋_GB2312" w:cs="仿宋_GB2312"/>
          <w:kern w:val="0"/>
          <w:sz w:val="28"/>
          <w:szCs w:val="28"/>
          <w:lang w:eastAsia="zh-CN"/>
        </w:rPr>
        <w:t>监测预警</w:t>
      </w:r>
      <w:r>
        <w:rPr>
          <w:rFonts w:hint="eastAsia" w:ascii="仿宋_GB2312" w:hAnsi="仿宋_GB2312" w:eastAsia="仿宋_GB2312" w:cs="仿宋_GB2312"/>
          <w:kern w:val="0"/>
          <w:sz w:val="28"/>
          <w:szCs w:val="28"/>
        </w:rPr>
        <w:t>平台，</w:t>
      </w:r>
      <w:r>
        <w:rPr>
          <w:rFonts w:hint="eastAsia" w:ascii="仿宋_GB2312" w:hAnsi="仿宋_GB2312" w:eastAsia="仿宋_GB2312" w:cs="仿宋_GB2312"/>
          <w:kern w:val="0"/>
          <w:sz w:val="28"/>
          <w:szCs w:val="28"/>
          <w:lang w:eastAsia="zh-CN"/>
        </w:rPr>
        <w:t>检查时</w:t>
      </w: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7,8,13,14项在省级平台中进行检查（责任也在省级），其他需在平台中检查的问题，使用各县账号和密码登录县级界面</w:t>
      </w:r>
      <w:r>
        <w:rPr>
          <w:rFonts w:hint="eastAsia" w:ascii="仿宋_GB2312" w:hAnsi="仿宋_GB2312" w:eastAsia="仿宋_GB2312" w:cs="仿宋_GB2312"/>
          <w:kern w:val="0"/>
          <w:sz w:val="28"/>
          <w:szCs w:val="28"/>
          <w:lang w:eastAsia="zh-CN"/>
        </w:rPr>
        <w:t>中</w:t>
      </w:r>
      <w:r>
        <w:rPr>
          <w:rFonts w:hint="eastAsia" w:ascii="仿宋_GB2312" w:hAnsi="仿宋_GB2312" w:eastAsia="仿宋_GB2312" w:cs="仿宋_GB2312"/>
          <w:kern w:val="0"/>
          <w:sz w:val="28"/>
          <w:szCs w:val="28"/>
        </w:rPr>
        <w:t>进行查看</w:t>
      </w:r>
      <w:r>
        <w:rPr>
          <w:rFonts w:hint="eastAsia" w:ascii="仿宋_GB2312" w:hAnsi="仿宋_GB2312" w:eastAsia="仿宋_GB2312" w:cs="仿宋_GB2312"/>
          <w:kern w:val="0"/>
          <w:sz w:val="28"/>
          <w:szCs w:val="28"/>
          <w:lang w:val="en-US" w:eastAsia="zh-CN"/>
        </w:rPr>
        <w:t>;存在</w:t>
      </w:r>
      <w:r>
        <w:rPr>
          <w:rFonts w:hint="eastAsia" w:ascii="仿宋_GB2312" w:hAnsi="仿宋_GB2312" w:eastAsia="仿宋_GB2312" w:cs="仿宋_GB2312"/>
          <w:kern w:val="0"/>
          <w:sz w:val="28"/>
          <w:szCs w:val="28"/>
        </w:rPr>
        <w:t>省、县两级平台共用的情况，二者选其一进行检查。</w:t>
      </w:r>
    </w:p>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85BC0"/>
    <w:rsid w:val="1F88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2020-06-23T00:55:00Z</dcterms:created>
  <dc:creator>why</dc:creator>
  <cp:lastModifiedBy>why</cp:lastModifiedBy>
  <dcterms:modified xsi:type="dcterms:W3CDTF">2020-06-23T01:06:47Z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